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highlight w:val="none"/>
          <w14:textFill>
            <w14:solidFill>
              <w14:schemeClr w14:val="tx1"/>
            </w14:solidFill>
          </w14:textFill>
        </w:rPr>
      </w:pPr>
    </w:p>
    <w:p>
      <w:pPr>
        <w:rPr>
          <w:rFonts w:ascii="仿宋_GB2312" w:hAnsi="仿宋_GB2312" w:eastAsia="仿宋_GB2312" w:cs="仿宋_GB2312"/>
          <w:color w:val="000000" w:themeColor="text1"/>
          <w:sz w:val="36"/>
          <w:szCs w:val="36"/>
          <w:highlight w:val="none"/>
          <w14:textFill>
            <w14:solidFill>
              <w14:schemeClr w14:val="tx1"/>
            </w14:solidFill>
          </w14:textFill>
        </w:rPr>
      </w:pPr>
    </w:p>
    <w:p>
      <w:pPr>
        <w:adjustRightInd w:val="0"/>
        <w:snapToGrid w:val="0"/>
        <w:jc w:val="center"/>
        <w:outlineLvl w:val="0"/>
        <w:rPr>
          <w:rFonts w:ascii="方正小标宋_GBK" w:hAnsi="方正小标宋_GBK" w:eastAsia="方正小标宋_GBK" w:cs="方正小标宋_GBK"/>
          <w:bCs/>
          <w:color w:val="000000" w:themeColor="text1"/>
          <w:sz w:val="72"/>
          <w:szCs w:val="7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72"/>
          <w:szCs w:val="72"/>
          <w:highlight w:val="none"/>
          <w:lang w:bidi="ar"/>
          <w14:textFill>
            <w14:solidFill>
              <w14:schemeClr w14:val="tx1"/>
            </w14:solidFill>
          </w14:textFill>
        </w:rPr>
        <w:t>建设项目环境影响报告表</w:t>
      </w:r>
    </w:p>
    <w:p>
      <w:pPr>
        <w:adjustRightInd w:val="0"/>
        <w:snapToGrid w:val="0"/>
        <w:spacing w:before="249" w:beforeLines="80"/>
        <w:jc w:val="center"/>
        <w:rPr>
          <w:rFonts w:ascii="楷体_GB2312" w:eastAsia="楷体_GB2312" w:cs="楷体_GB2312"/>
          <w:bCs/>
          <w:color w:val="000000" w:themeColor="text1"/>
          <w:sz w:val="48"/>
          <w:szCs w:val="48"/>
          <w:highlight w:val="none"/>
          <w14:textFill>
            <w14:solidFill>
              <w14:schemeClr w14:val="tx1"/>
            </w14:solidFill>
          </w14:textFill>
        </w:rPr>
      </w:pPr>
      <w:r>
        <w:rPr>
          <w:rFonts w:hint="eastAsia" w:ascii="楷体_GB2312" w:hAnsi="Times New Roman" w:eastAsia="楷体_GB2312" w:cs="楷体_GB2312"/>
          <w:bCs/>
          <w:color w:val="000000" w:themeColor="text1"/>
          <w:sz w:val="48"/>
          <w:szCs w:val="48"/>
          <w:highlight w:val="none"/>
          <w:lang w:bidi="ar"/>
          <w14:textFill>
            <w14:solidFill>
              <w14:schemeClr w14:val="tx1"/>
            </w14:solidFill>
          </w14:textFill>
        </w:rPr>
        <w:t>（污染影响类）</w:t>
      </w:r>
    </w:p>
    <w:p>
      <w:pPr>
        <w:jc w:val="center"/>
        <w:rPr>
          <w:rFonts w:ascii="华文仿宋" w:hAnsi="华文仿宋" w:eastAsia="华文仿宋" w:cs="华文仿宋"/>
          <w:color w:val="000000" w:themeColor="text1"/>
          <w:kern w:val="44"/>
          <w:sz w:val="44"/>
          <w:szCs w:val="44"/>
          <w:highlight w:val="none"/>
          <w14:textFill>
            <w14:solidFill>
              <w14:schemeClr w14:val="tx1"/>
            </w14:solidFill>
          </w14:textFill>
        </w:rPr>
      </w:pPr>
    </w:p>
    <w:p>
      <w:pPr>
        <w:jc w:val="center"/>
        <w:rPr>
          <w:rFonts w:eastAsia="仿宋"/>
          <w:color w:val="000000" w:themeColor="text1"/>
          <w:sz w:val="52"/>
          <w:szCs w:val="52"/>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adjustRightInd w:val="0"/>
        <w:snapToGrid w:val="0"/>
        <w:spacing w:line="288" w:lineRule="auto"/>
        <w:ind w:left="2518" w:leftChars="342" w:hanging="1800" w:hangingChars="500"/>
        <w:jc w:val="left"/>
        <w:rPr>
          <w:rFonts w:ascii="仿宋" w:hAnsi="仿宋" w:eastAsia="仿宋" w:cs="仿宋"/>
          <w:color w:val="000000" w:themeColor="text1"/>
          <w:sz w:val="36"/>
          <w:szCs w:val="36"/>
          <w:highlight w:val="none"/>
          <w:u w:val="single"/>
          <w14:textFill>
            <w14:solidFill>
              <w14:schemeClr w14:val="tx1"/>
            </w14:solidFill>
          </w14:textFill>
        </w:rPr>
      </w:pPr>
      <w:r>
        <w:rPr>
          <w:rFonts w:hint="eastAsia" w:ascii="仿宋" w:hAnsi="仿宋" w:eastAsia="仿宋" w:cs="仿宋"/>
          <w:color w:val="000000" w:themeColor="text1"/>
          <w:sz w:val="36"/>
          <w:szCs w:val="36"/>
          <w:highlight w:val="none"/>
          <w:lang w:bidi="ar"/>
          <w14:textFill>
            <w14:solidFill>
              <w14:schemeClr w14:val="tx1"/>
            </w14:solidFill>
          </w14:textFill>
        </w:rPr>
        <w:t>项目名称：</w:t>
      </w:r>
      <w:r>
        <w:rPr>
          <w:rFonts w:hint="eastAsia" w:ascii="仿宋" w:hAnsi="仿宋" w:eastAsia="仿宋" w:cs="仿宋"/>
          <w:color w:val="000000" w:themeColor="text1"/>
          <w:sz w:val="36"/>
          <w:szCs w:val="36"/>
          <w:highlight w:val="none"/>
          <w:u w:val="single"/>
          <w:lang w:val="en-US" w:eastAsia="zh-CN" w:bidi="ar"/>
          <w14:textFill>
            <w14:solidFill>
              <w14:schemeClr w14:val="tx1"/>
            </w14:solidFill>
          </w14:textFill>
        </w:rPr>
        <w:t>承德森禧木业有限公司锅炉鼓风系统改造工程</w:t>
      </w:r>
      <w:r>
        <w:rPr>
          <w:rFonts w:hint="eastAsia" w:ascii="仿宋" w:hAnsi="仿宋" w:eastAsia="仿宋" w:cs="仿宋"/>
          <w:color w:val="000000" w:themeColor="text1"/>
          <w:sz w:val="36"/>
          <w:szCs w:val="36"/>
          <w:highlight w:val="none"/>
          <w:u w:val="single"/>
          <w:lang w:eastAsia="zh-CN" w:bidi="ar"/>
          <w14:textFill>
            <w14:solidFill>
              <w14:schemeClr w14:val="tx1"/>
            </w14:solidFill>
          </w14:textFill>
        </w:rPr>
        <w:t>（即大气污染物排放标准变更）</w:t>
      </w:r>
      <w:r>
        <w:rPr>
          <w:rFonts w:hint="eastAsia" w:ascii="仿宋" w:hAnsi="仿宋" w:eastAsia="仿宋" w:cs="仿宋"/>
          <w:color w:val="000000" w:themeColor="text1"/>
          <w:sz w:val="36"/>
          <w:szCs w:val="36"/>
          <w:highlight w:val="none"/>
          <w:u w:val="single"/>
          <w:lang w:bidi="ar"/>
          <w14:textFill>
            <w14:solidFill>
              <w14:schemeClr w14:val="tx1"/>
            </w14:solidFill>
          </w14:textFill>
        </w:rPr>
        <w:t xml:space="preserve">                </w:t>
      </w:r>
      <w:r>
        <w:rPr>
          <w:rFonts w:hint="eastAsia" w:ascii="仿宋" w:hAnsi="仿宋" w:eastAsia="仿宋" w:cs="仿宋"/>
          <w:color w:val="000000" w:themeColor="text1"/>
          <w:sz w:val="36"/>
          <w:szCs w:val="36"/>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sz w:val="36"/>
          <w:szCs w:val="36"/>
          <w:highlight w:val="none"/>
          <w:u w:val="single"/>
          <w:lang w:bidi="ar"/>
          <w14:textFill>
            <w14:solidFill>
              <w14:schemeClr w14:val="tx1"/>
            </w14:solidFill>
          </w14:textFill>
        </w:rPr>
        <w:t xml:space="preserve">   </w:t>
      </w:r>
    </w:p>
    <w:p>
      <w:pPr>
        <w:adjustRightInd w:val="0"/>
        <w:snapToGrid w:val="0"/>
        <w:spacing w:line="288" w:lineRule="auto"/>
        <w:ind w:firstLine="680"/>
        <w:rPr>
          <w:rFonts w:hint="default" w:ascii="仿宋" w:hAnsi="仿宋" w:eastAsia="仿宋" w:cs="仿宋"/>
          <w:color w:val="000000" w:themeColor="text1"/>
          <w:sz w:val="36"/>
          <w:szCs w:val="36"/>
          <w:highlight w:val="none"/>
          <w:u w:val="single"/>
          <w:lang w:val="en-US" w:eastAsia="zh-CN"/>
          <w14:textFill>
            <w14:solidFill>
              <w14:schemeClr w14:val="tx1"/>
            </w14:solidFill>
          </w14:textFill>
        </w:rPr>
      </w:pPr>
      <w:r>
        <w:rPr>
          <w:rFonts w:hint="eastAsia" w:ascii="仿宋" w:hAnsi="仿宋" w:eastAsia="仿宋" w:cs="仿宋"/>
          <w:color w:val="000000" w:themeColor="text1"/>
          <w:sz w:val="36"/>
          <w:szCs w:val="36"/>
          <w:highlight w:val="none"/>
          <w:lang w:bidi="ar"/>
          <w14:textFill>
            <w14:solidFill>
              <w14:schemeClr w14:val="tx1"/>
            </w14:solidFill>
          </w14:textFill>
        </w:rPr>
        <w:t>建设单位（盖章）：</w:t>
      </w:r>
      <w:r>
        <w:rPr>
          <w:rFonts w:hint="eastAsia" w:ascii="仿宋" w:hAnsi="仿宋" w:eastAsia="仿宋" w:cs="仿宋"/>
          <w:color w:val="000000" w:themeColor="text1"/>
          <w:sz w:val="36"/>
          <w:szCs w:val="36"/>
          <w:highlight w:val="none"/>
          <w:u w:val="single"/>
          <w:lang w:eastAsia="zh-CN" w:bidi="ar"/>
          <w14:textFill>
            <w14:solidFill>
              <w14:schemeClr w14:val="tx1"/>
            </w14:solidFill>
          </w14:textFill>
        </w:rPr>
        <w:t>承德森禧木业有限公司</w:t>
      </w:r>
      <w:r>
        <w:rPr>
          <w:rFonts w:hint="eastAsia" w:ascii="仿宋" w:hAnsi="仿宋" w:eastAsia="仿宋" w:cs="仿宋"/>
          <w:color w:val="000000" w:themeColor="text1"/>
          <w:sz w:val="36"/>
          <w:szCs w:val="36"/>
          <w:highlight w:val="none"/>
          <w:u w:val="single"/>
          <w:lang w:val="en-US" w:eastAsia="zh-CN" w:bidi="ar"/>
          <w14:textFill>
            <w14:solidFill>
              <w14:schemeClr w14:val="tx1"/>
            </w14:solidFill>
          </w14:textFill>
        </w:rPr>
        <w:t xml:space="preserve">       </w:t>
      </w:r>
    </w:p>
    <w:p>
      <w:pPr>
        <w:adjustRightInd w:val="0"/>
        <w:snapToGrid w:val="0"/>
        <w:spacing w:line="288" w:lineRule="auto"/>
        <w:ind w:firstLine="720" w:firstLineChars="200"/>
        <w:jc w:val="left"/>
        <w:rPr>
          <w:rFonts w:ascii="宋体" w:hAnsi="宋体" w:cs="仿宋_GB2312"/>
          <w:color w:val="000000" w:themeColor="text1"/>
          <w:sz w:val="36"/>
          <w:szCs w:val="36"/>
          <w:highlight w:val="none"/>
          <w:u w:val="single"/>
          <w14:textFill>
            <w14:solidFill>
              <w14:schemeClr w14:val="tx1"/>
            </w14:solidFill>
          </w14:textFill>
        </w:rPr>
      </w:pPr>
      <w:r>
        <w:rPr>
          <w:rFonts w:hint="eastAsia" w:ascii="仿宋" w:hAnsi="仿宋" w:eastAsia="仿宋" w:cs="仿宋"/>
          <w:color w:val="000000" w:themeColor="text1"/>
          <w:sz w:val="36"/>
          <w:szCs w:val="36"/>
          <w:highlight w:val="none"/>
          <w:lang w:bidi="ar"/>
          <w14:textFill>
            <w14:solidFill>
              <w14:schemeClr w14:val="tx1"/>
            </w14:solidFill>
          </w14:textFill>
        </w:rPr>
        <w:t>编制日期：</w:t>
      </w:r>
      <w:r>
        <w:rPr>
          <w:rFonts w:hint="eastAsia" w:ascii="仿宋" w:hAnsi="仿宋" w:eastAsia="仿宋" w:cs="仿宋"/>
          <w:color w:val="000000" w:themeColor="text1"/>
          <w:sz w:val="36"/>
          <w:szCs w:val="36"/>
          <w:highlight w:val="none"/>
          <w:u w:val="single"/>
          <w:lang w:bidi="ar"/>
          <w14:textFill>
            <w14:solidFill>
              <w14:schemeClr w14:val="tx1"/>
            </w14:solidFill>
          </w14:textFill>
        </w:rPr>
        <w:t>202</w:t>
      </w:r>
      <w:r>
        <w:rPr>
          <w:rFonts w:hint="eastAsia" w:ascii="仿宋" w:hAnsi="仿宋" w:eastAsia="仿宋" w:cs="仿宋"/>
          <w:color w:val="000000" w:themeColor="text1"/>
          <w:sz w:val="36"/>
          <w:szCs w:val="36"/>
          <w:highlight w:val="none"/>
          <w:u w:val="single"/>
          <w:lang w:val="en-US" w:eastAsia="zh-CN" w:bidi="ar"/>
          <w14:textFill>
            <w14:solidFill>
              <w14:schemeClr w14:val="tx1"/>
            </w14:solidFill>
          </w14:textFill>
        </w:rPr>
        <w:t>4</w:t>
      </w:r>
      <w:r>
        <w:rPr>
          <w:rFonts w:hint="eastAsia" w:ascii="仿宋" w:hAnsi="仿宋" w:eastAsia="仿宋" w:cs="仿宋"/>
          <w:color w:val="000000" w:themeColor="text1"/>
          <w:sz w:val="36"/>
          <w:szCs w:val="36"/>
          <w:highlight w:val="none"/>
          <w:u w:val="single"/>
          <w:lang w:bidi="ar"/>
          <w14:textFill>
            <w14:solidFill>
              <w14:schemeClr w14:val="tx1"/>
            </w14:solidFill>
          </w14:textFill>
        </w:rPr>
        <w:t>年</w:t>
      </w:r>
      <w:r>
        <w:rPr>
          <w:rFonts w:hint="eastAsia" w:ascii="仿宋" w:hAnsi="仿宋" w:eastAsia="仿宋" w:cs="仿宋"/>
          <w:color w:val="000000" w:themeColor="text1"/>
          <w:sz w:val="36"/>
          <w:szCs w:val="36"/>
          <w:highlight w:val="none"/>
          <w:u w:val="single"/>
          <w:lang w:val="en-US" w:eastAsia="zh-CN" w:bidi="ar"/>
          <w14:textFill>
            <w14:solidFill>
              <w14:schemeClr w14:val="tx1"/>
            </w14:solidFill>
          </w14:textFill>
        </w:rPr>
        <w:t>3</w:t>
      </w:r>
      <w:r>
        <w:rPr>
          <w:rFonts w:hint="eastAsia" w:ascii="仿宋" w:hAnsi="仿宋" w:eastAsia="仿宋" w:cs="仿宋"/>
          <w:color w:val="000000" w:themeColor="text1"/>
          <w:sz w:val="36"/>
          <w:szCs w:val="36"/>
          <w:highlight w:val="none"/>
          <w:u w:val="single"/>
          <w:lang w:bidi="ar"/>
          <w14:textFill>
            <w14:solidFill>
              <w14:schemeClr w14:val="tx1"/>
            </w14:solidFill>
          </w14:textFill>
        </w:rPr>
        <w:t xml:space="preserve">月             </w:t>
      </w:r>
      <w:r>
        <w:rPr>
          <w:rFonts w:hint="eastAsia" w:ascii="仿宋" w:hAnsi="仿宋" w:eastAsia="仿宋" w:cs="仿宋"/>
          <w:color w:val="000000" w:themeColor="text1"/>
          <w:sz w:val="36"/>
          <w:szCs w:val="36"/>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sz w:val="36"/>
          <w:szCs w:val="36"/>
          <w:highlight w:val="none"/>
          <w:u w:val="single"/>
          <w:lang w:bidi="ar"/>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pPr>
        <w:adjustRightInd w:val="0"/>
        <w:snapToGrid w:val="0"/>
        <w:spacing w:line="288" w:lineRule="auto"/>
        <w:ind w:firstLine="1040"/>
        <w:rPr>
          <w:rFonts w:ascii="仿宋_GB2312" w:eastAsia="仿宋_GB2312" w:cs="仿宋_GB2312"/>
          <w:color w:val="000000" w:themeColor="text1"/>
          <w:sz w:val="36"/>
          <w:szCs w:val="36"/>
          <w:highlight w:val="none"/>
          <w:u w:val="single"/>
          <w14:textFill>
            <w14:solidFill>
              <w14:schemeClr w14:val="tx1"/>
            </w14:solidFill>
          </w14:textFill>
        </w:rPr>
      </w:pPr>
      <w:bookmarkStart w:id="0" w:name="_Hlk57884087"/>
    </w:p>
    <w:p>
      <w:pPr>
        <w:adjustRightInd w:val="0"/>
        <w:snapToGrid w:val="0"/>
        <w:spacing w:line="288" w:lineRule="auto"/>
        <w:ind w:firstLine="1040"/>
        <w:rPr>
          <w:rFonts w:ascii="仿宋_GB2312" w:eastAsia="仿宋_GB2312" w:cs="仿宋_GB2312"/>
          <w:color w:val="000000" w:themeColor="text1"/>
          <w:sz w:val="36"/>
          <w:szCs w:val="36"/>
          <w:highlight w:val="none"/>
          <w14:textFill>
            <w14:solidFill>
              <w14:schemeClr w14:val="tx1"/>
            </w14:solidFill>
          </w14:textFill>
        </w:rPr>
      </w:pPr>
    </w:p>
    <w:p>
      <w:pPr>
        <w:adjustRightInd w:val="0"/>
        <w:snapToGrid w:val="0"/>
        <w:spacing w:line="288" w:lineRule="auto"/>
        <w:ind w:firstLine="1040"/>
        <w:rPr>
          <w:rFonts w:ascii="仿宋_GB2312" w:eastAsia="仿宋_GB2312" w:cs="仿宋_GB2312"/>
          <w:color w:val="000000" w:themeColor="text1"/>
          <w:sz w:val="36"/>
          <w:szCs w:val="36"/>
          <w:highlight w:val="none"/>
          <w14:textFill>
            <w14:solidFill>
              <w14:schemeClr w14:val="tx1"/>
            </w14:solidFill>
          </w14:textFill>
        </w:rPr>
      </w:pPr>
    </w:p>
    <w:p>
      <w:pPr>
        <w:adjustRightInd w:val="0"/>
        <w:snapToGrid w:val="0"/>
        <w:spacing w:line="288" w:lineRule="auto"/>
        <w:ind w:firstLine="1040"/>
        <w:rPr>
          <w:rFonts w:ascii="仿宋_GB2312" w:eastAsia="仿宋_GB2312" w:cs="仿宋_GB2312"/>
          <w:color w:val="000000" w:themeColor="text1"/>
          <w:sz w:val="36"/>
          <w:szCs w:val="36"/>
          <w:highlight w:val="none"/>
          <w14:textFill>
            <w14:solidFill>
              <w14:schemeClr w14:val="tx1"/>
            </w14:solidFill>
          </w14:textFill>
        </w:rPr>
      </w:pPr>
    </w:p>
    <w:bookmarkEnd w:id="0"/>
    <w:p>
      <w:pPr>
        <w:adjustRightInd w:val="0"/>
        <w:snapToGrid w:val="0"/>
        <w:spacing w:line="288" w:lineRule="auto"/>
        <w:jc w:val="center"/>
        <w:rPr>
          <w:rFonts w:ascii="楷体_GB2312" w:eastAsia="楷体_GB2312" w:cs="楷体_GB2312"/>
          <w:color w:val="000000" w:themeColor="text1"/>
          <w:sz w:val="36"/>
          <w:szCs w:val="36"/>
          <w:highlight w:val="none"/>
          <w14:textFill>
            <w14:solidFill>
              <w14:schemeClr w14:val="tx1"/>
            </w14:solidFill>
          </w14:textFill>
        </w:rPr>
      </w:pPr>
      <w:r>
        <w:rPr>
          <w:rFonts w:hint="eastAsia" w:ascii="楷体_GB2312" w:hAnsi="Times New Roman" w:eastAsia="楷体_GB2312" w:cs="楷体_GB2312"/>
          <w:color w:val="000000" w:themeColor="text1"/>
          <w:sz w:val="36"/>
          <w:szCs w:val="36"/>
          <w:highlight w:val="none"/>
          <w:lang w:bidi="ar"/>
          <w14:textFill>
            <w14:solidFill>
              <w14:schemeClr w14:val="tx1"/>
            </w14:solidFill>
          </w14:textFill>
        </w:rPr>
        <w:t>中华人民共和国生态环境部制</w:t>
      </w:r>
    </w:p>
    <w:p>
      <w:pPr>
        <w:rPr>
          <w:rFonts w:ascii="仿宋_GB2312" w:hAnsi="Times New Roman" w:eastAsia="仿宋_GB2312" w:cs="Times New Roman"/>
          <w:color w:val="000000" w:themeColor="text1"/>
          <w:sz w:val="36"/>
          <w:szCs w:val="36"/>
          <w:highlight w:val="none"/>
          <w:lang w:bidi="ar"/>
          <w14:textFill>
            <w14:solidFill>
              <w14:schemeClr w14:val="tx1"/>
            </w14:solidFill>
          </w14:textFill>
        </w:rPr>
      </w:pPr>
      <w:r>
        <w:rPr>
          <w:rFonts w:ascii="仿宋_GB2312" w:hAnsi="Times New Roman" w:eastAsia="仿宋_GB2312" w:cs="Times New Roman"/>
          <w:color w:val="000000" w:themeColor="text1"/>
          <w:sz w:val="36"/>
          <w:szCs w:val="36"/>
          <w:highlight w:val="none"/>
          <w:lang w:bidi="ar"/>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16"/>
        <w:rPr>
          <w:color w:val="000000" w:themeColor="text1"/>
          <w:highlight w:val="none"/>
          <w14:textFill>
            <w14:solidFill>
              <w14:schemeClr w14:val="tx1"/>
            </w14:solidFill>
          </w14:textFill>
        </w:rPr>
        <w:sectPr>
          <w:footerReference r:id="rId3" w:type="default"/>
          <w:pgSz w:w="11906" w:h="16838"/>
          <w:pgMar w:top="1702" w:right="1531" w:bottom="1702" w:left="1531" w:header="851" w:footer="1077" w:gutter="0"/>
          <w:pgNumType w:start="3"/>
          <w:cols w:space="425" w:num="1"/>
          <w:docGrid w:type="lines" w:linePitch="312" w:charSpace="0"/>
        </w:sectPr>
      </w:pPr>
    </w:p>
    <w:p>
      <w:pPr>
        <w:pStyle w:val="17"/>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一、建设项目基本情况</w:t>
      </w:r>
    </w:p>
    <w:tbl>
      <w:tblPr>
        <w:tblStyle w:val="22"/>
        <w:tblW w:w="893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6"/>
        <w:gridCol w:w="2693"/>
        <w:gridCol w:w="1828"/>
        <w:gridCol w:w="29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建设项目名称</w:t>
            </w:r>
          </w:p>
        </w:tc>
        <w:tc>
          <w:tcPr>
            <w:tcW w:w="7435" w:type="dxa"/>
            <w:gridSpan w:val="3"/>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承德森禧木业有限公司锅炉鼓风系统改造工程</w:t>
            </w:r>
          </w:p>
          <w:p>
            <w:pPr>
              <w:adjustRightInd w:val="0"/>
              <w:snapToGrid w:val="0"/>
              <w:jc w:val="center"/>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（即大气污染物排放标准变更）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项目代码</w:t>
            </w:r>
          </w:p>
        </w:tc>
        <w:tc>
          <w:tcPr>
            <w:tcW w:w="7435"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建设单位联系人</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联系方式</w:t>
            </w:r>
          </w:p>
        </w:tc>
        <w:tc>
          <w:tcPr>
            <w:tcW w:w="2914"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建设地点</w:t>
            </w:r>
          </w:p>
        </w:tc>
        <w:tc>
          <w:tcPr>
            <w:tcW w:w="7435"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u w:val="single"/>
                <w:lang w:bidi="ar"/>
                <w14:textFill>
                  <w14:solidFill>
                    <w14:schemeClr w14:val="tx1"/>
                  </w14:solidFill>
                </w14:textFill>
              </w:rPr>
              <w:t>河北</w:t>
            </w:r>
            <w:r>
              <w:rPr>
                <w:rFonts w:ascii="Times New Roman" w:hAnsi="Times New Roman" w:eastAsia="宋体" w:cs="Times New Roman"/>
                <w:color w:val="000000" w:themeColor="text1"/>
                <w:sz w:val="24"/>
                <w:highlight w:val="none"/>
                <w:lang w:bidi="ar"/>
                <w14:textFill>
                  <w14:solidFill>
                    <w14:schemeClr w14:val="tx1"/>
                  </w14:solidFill>
                </w14:textFill>
              </w:rPr>
              <w:t>省</w:t>
            </w:r>
            <w:r>
              <w:rPr>
                <w:rFonts w:ascii="Times New Roman" w:hAnsi="Times New Roman" w:eastAsia="宋体" w:cs="Times New Roman"/>
                <w:color w:val="000000" w:themeColor="text1"/>
                <w:sz w:val="24"/>
                <w:highlight w:val="none"/>
                <w:u w:val="single"/>
                <w:lang w:bidi="ar"/>
                <w14:textFill>
                  <w14:solidFill>
                    <w14:schemeClr w14:val="tx1"/>
                  </w14:solidFill>
                </w14:textFill>
              </w:rPr>
              <w:t>承德</w:t>
            </w:r>
            <w:r>
              <w:rPr>
                <w:rFonts w:ascii="Times New Roman" w:hAnsi="Times New Roman" w:eastAsia="宋体" w:cs="Times New Roman"/>
                <w:color w:val="000000" w:themeColor="text1"/>
                <w:sz w:val="24"/>
                <w:highlight w:val="none"/>
                <w:lang w:bidi="ar"/>
                <w14:textFill>
                  <w14:solidFill>
                    <w14:schemeClr w14:val="tx1"/>
                  </w14:solidFill>
                </w14:textFill>
              </w:rPr>
              <w:t>市</w:t>
            </w:r>
            <w:r>
              <w:rPr>
                <w:rFonts w:hint="eastAsia" w:ascii="Times New Roman" w:hAnsi="Times New Roman" w:eastAsia="宋体" w:cs="Times New Roman"/>
                <w:color w:val="000000" w:themeColor="text1"/>
                <w:sz w:val="24"/>
                <w:highlight w:val="none"/>
                <w:u w:val="single"/>
                <w:lang w:val="en-US" w:eastAsia="zh-CN" w:bidi="ar"/>
                <w14:textFill>
                  <w14:solidFill>
                    <w14:schemeClr w14:val="tx1"/>
                  </w14:solidFill>
                </w14:textFill>
              </w:rPr>
              <w:t>围场满族蒙古族自治</w:t>
            </w:r>
            <w:r>
              <w:rPr>
                <w:rFonts w:ascii="Times New Roman" w:hAnsi="Times New Roman" w:eastAsia="宋体" w:cs="Times New Roman"/>
                <w:color w:val="000000" w:themeColor="text1"/>
                <w:sz w:val="24"/>
                <w:highlight w:val="none"/>
                <w:lang w:bidi="ar"/>
                <w14:textFill>
                  <w14:solidFill>
                    <w14:schemeClr w14:val="tx1"/>
                  </w14:solidFill>
                </w14:textFill>
              </w:rPr>
              <w:t>县</w:t>
            </w:r>
            <w:r>
              <w:rPr>
                <w:rFonts w:hint="eastAsia" w:ascii="Times New Roman" w:hAnsi="Times New Roman" w:eastAsia="宋体" w:cs="Times New Roman"/>
                <w:color w:val="000000" w:themeColor="text1"/>
                <w:sz w:val="24"/>
                <w:highlight w:val="none"/>
                <w:u w:val="single"/>
                <w:lang w:val="en-US" w:eastAsia="zh-CN" w:bidi="ar"/>
                <w14:textFill>
                  <w14:solidFill>
                    <w14:schemeClr w14:val="tx1"/>
                  </w14:solidFill>
                </w14:textFill>
              </w:rPr>
              <w:t>经济开发</w:t>
            </w:r>
            <w:r>
              <w:rPr>
                <w:rFonts w:hint="eastAsia" w:ascii="Times New Roman" w:hAnsi="Times New Roman" w:eastAsia="宋体" w:cs="Times New Roman"/>
                <w:color w:val="000000" w:themeColor="text1"/>
                <w:sz w:val="24"/>
                <w:highlight w:val="none"/>
                <w:u w:val="none"/>
                <w:lang w:val="en-US" w:eastAsia="zh-CN" w:bidi="ar"/>
                <w14:textFill>
                  <w14:solidFill>
                    <w14:schemeClr w14:val="tx1"/>
                  </w14:solidFill>
                </w14:textFill>
              </w:rPr>
              <w:t>区围场镇金字村（3组23号）</w:t>
            </w:r>
            <w:r>
              <w:rPr>
                <w:rFonts w:hint="eastAsia" w:ascii="Times New Roman" w:hAnsi="Times New Roman" w:eastAsia="宋体" w:cs="Times New Roman"/>
                <w:color w:val="000000" w:themeColor="text1"/>
                <w:sz w:val="24"/>
                <w:highlight w:val="none"/>
                <w:lang w:eastAsia="zh-CN" w:bidi="ar"/>
                <w14:textFill>
                  <w14:solidFill>
                    <w14:schemeClr w14:val="tx1"/>
                  </w14:solidFill>
                </w14:textFill>
              </w:rPr>
              <w:t>承德森禧木业有限公司</w:t>
            </w:r>
            <w:r>
              <w:rPr>
                <w:rFonts w:ascii="Times New Roman" w:hAnsi="Times New Roman" w:eastAsia="宋体" w:cs="Times New Roman"/>
                <w:color w:val="000000" w:themeColor="text1"/>
                <w:sz w:val="24"/>
                <w:highlight w:val="none"/>
                <w:lang w:bidi="ar"/>
                <w14:textFill>
                  <w14:solidFill>
                    <w14:schemeClr w14:val="tx1"/>
                  </w14:solidFill>
                </w14:textFill>
              </w:rPr>
              <w:t>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地理坐标</w:t>
            </w:r>
          </w:p>
        </w:tc>
        <w:tc>
          <w:tcPr>
            <w:tcW w:w="7435"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color w:val="000000" w:themeColor="text1"/>
                <w:sz w:val="24"/>
                <w:highlight w:val="none"/>
                <w:lang w:bidi="ar"/>
                <w14:textFill>
                  <w14:solidFill>
                    <w14:schemeClr w14:val="tx1"/>
                  </w14:solidFill>
                </w14:textFill>
              </w:rPr>
            </w:pPr>
            <w:r>
              <w:rPr>
                <w:rFonts w:ascii="Times New Roman" w:hAnsi="Times New Roman" w:eastAsia="宋体" w:cs="Times New Roman"/>
                <w:color w:val="000000" w:themeColor="text1"/>
                <w:sz w:val="24"/>
                <w:highlight w:val="none"/>
                <w:u w:val="single"/>
                <w:lang w:bidi="ar"/>
                <w14:textFill>
                  <w14:solidFill>
                    <w14:schemeClr w14:val="tx1"/>
                  </w14:solidFill>
                </w14:textFill>
              </w:rPr>
              <w:t>117</w:t>
            </w:r>
            <w:r>
              <w:rPr>
                <w:rFonts w:ascii="Times New Roman" w:hAnsi="Times New Roman" w:eastAsia="宋体" w:cs="Times New Roman"/>
                <w:color w:val="000000" w:themeColor="text1"/>
                <w:sz w:val="24"/>
                <w:highlight w:val="none"/>
                <w:lang w:bidi="ar"/>
                <w14:textFill>
                  <w14:solidFill>
                    <w14:schemeClr w14:val="tx1"/>
                  </w14:solidFill>
                </w14:textFill>
              </w:rPr>
              <w:t>度</w:t>
            </w:r>
            <w:r>
              <w:rPr>
                <w:rFonts w:hint="eastAsia" w:ascii="Times New Roman" w:hAnsi="Times New Roman" w:eastAsia="宋体" w:cs="Times New Roman"/>
                <w:color w:val="000000" w:themeColor="text1"/>
                <w:sz w:val="24"/>
                <w:highlight w:val="none"/>
                <w:u w:val="single"/>
                <w:lang w:val="en-US" w:eastAsia="zh-CN" w:bidi="ar"/>
                <w14:textFill>
                  <w14:solidFill>
                    <w14:schemeClr w14:val="tx1"/>
                  </w14:solidFill>
                </w14:textFill>
              </w:rPr>
              <w:t>42</w:t>
            </w:r>
            <w:r>
              <w:rPr>
                <w:rFonts w:ascii="Times New Roman" w:hAnsi="Times New Roman" w:eastAsia="宋体" w:cs="Times New Roman"/>
                <w:color w:val="000000" w:themeColor="text1"/>
                <w:sz w:val="24"/>
                <w:highlight w:val="none"/>
                <w:lang w:bidi="ar"/>
                <w14:textFill>
                  <w14:solidFill>
                    <w14:schemeClr w14:val="tx1"/>
                  </w14:solidFill>
                </w14:textFill>
              </w:rPr>
              <w:t>分</w:t>
            </w:r>
            <w:r>
              <w:rPr>
                <w:rFonts w:hint="eastAsia" w:ascii="Times New Roman" w:hAnsi="Times New Roman" w:eastAsia="宋体" w:cs="Times New Roman"/>
                <w:color w:val="000000" w:themeColor="text1"/>
                <w:sz w:val="24"/>
                <w:highlight w:val="none"/>
                <w:u w:val="single"/>
                <w:lang w:val="en-US" w:eastAsia="zh-CN" w:bidi="ar"/>
                <w14:textFill>
                  <w14:solidFill>
                    <w14:schemeClr w14:val="tx1"/>
                  </w14:solidFill>
                </w14:textFill>
              </w:rPr>
              <w:t>37.626</w:t>
            </w:r>
            <w:r>
              <w:rPr>
                <w:rFonts w:ascii="Times New Roman" w:hAnsi="Times New Roman" w:eastAsia="宋体" w:cs="Times New Roman"/>
                <w:color w:val="000000" w:themeColor="text1"/>
                <w:sz w:val="24"/>
                <w:highlight w:val="none"/>
                <w:lang w:bidi="ar"/>
                <w14:textFill>
                  <w14:solidFill>
                    <w14:schemeClr w14:val="tx1"/>
                  </w14:solidFill>
                </w14:textFill>
              </w:rPr>
              <w:t>秒，</w:t>
            </w:r>
            <w:r>
              <w:rPr>
                <w:rFonts w:ascii="Times New Roman" w:hAnsi="Times New Roman" w:eastAsia="宋体" w:cs="Times New Roman"/>
                <w:color w:val="000000" w:themeColor="text1"/>
                <w:sz w:val="24"/>
                <w:highlight w:val="none"/>
                <w:u w:val="single"/>
                <w:lang w:bidi="ar"/>
                <w14:textFill>
                  <w14:solidFill>
                    <w14:schemeClr w14:val="tx1"/>
                  </w14:solidFill>
                </w14:textFill>
              </w:rPr>
              <w:t>41</w:t>
            </w:r>
            <w:r>
              <w:rPr>
                <w:rFonts w:ascii="Times New Roman" w:hAnsi="Times New Roman" w:eastAsia="宋体" w:cs="Times New Roman"/>
                <w:color w:val="000000" w:themeColor="text1"/>
                <w:sz w:val="24"/>
                <w:highlight w:val="none"/>
                <w:lang w:bidi="ar"/>
                <w14:textFill>
                  <w14:solidFill>
                    <w14:schemeClr w14:val="tx1"/>
                  </w14:solidFill>
                </w14:textFill>
              </w:rPr>
              <w:t>度</w:t>
            </w:r>
            <w:r>
              <w:rPr>
                <w:rFonts w:hint="eastAsia" w:ascii="Times New Roman" w:hAnsi="Times New Roman" w:eastAsia="宋体" w:cs="Times New Roman"/>
                <w:color w:val="000000" w:themeColor="text1"/>
                <w:sz w:val="24"/>
                <w:highlight w:val="none"/>
                <w:u w:val="single"/>
                <w:lang w:val="en-US" w:eastAsia="zh-CN" w:bidi="ar"/>
                <w14:textFill>
                  <w14:solidFill>
                    <w14:schemeClr w14:val="tx1"/>
                  </w14:solidFill>
                </w14:textFill>
              </w:rPr>
              <w:t>59</w:t>
            </w:r>
            <w:r>
              <w:rPr>
                <w:rFonts w:ascii="Times New Roman" w:hAnsi="Times New Roman" w:eastAsia="宋体" w:cs="Times New Roman"/>
                <w:color w:val="000000" w:themeColor="text1"/>
                <w:sz w:val="24"/>
                <w:highlight w:val="none"/>
                <w:lang w:bidi="ar"/>
                <w14:textFill>
                  <w14:solidFill>
                    <w14:schemeClr w14:val="tx1"/>
                  </w14:solidFill>
                </w14:textFill>
              </w:rPr>
              <w:t>分</w:t>
            </w:r>
            <w:r>
              <w:rPr>
                <w:rFonts w:hint="eastAsia" w:ascii="Times New Roman" w:hAnsi="Times New Roman" w:eastAsia="宋体" w:cs="Times New Roman"/>
                <w:color w:val="000000" w:themeColor="text1"/>
                <w:sz w:val="24"/>
                <w:highlight w:val="none"/>
                <w:u w:val="single"/>
                <w:lang w:val="en-US" w:eastAsia="zh-CN" w:bidi="ar"/>
                <w14:textFill>
                  <w14:solidFill>
                    <w14:schemeClr w14:val="tx1"/>
                  </w14:solidFill>
                </w14:textFill>
              </w:rPr>
              <w:t>2.920</w:t>
            </w:r>
            <w:r>
              <w:rPr>
                <w:rFonts w:ascii="Times New Roman" w:hAnsi="Times New Roman" w:eastAsia="宋体" w:cs="Times New Roman"/>
                <w:color w:val="000000" w:themeColor="text1"/>
                <w:sz w:val="24"/>
                <w:highlight w:val="none"/>
                <w:lang w:bidi="ar"/>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国民经济行业类别</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D4430热力生产和供应</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bookmarkStart w:id="1" w:name="_Hlk49843745"/>
            <w:r>
              <w:rPr>
                <w:rFonts w:ascii="Times New Roman" w:hAnsi="Times New Roman" w:eastAsia="宋体" w:cs="Times New Roman"/>
                <w:color w:val="000000" w:themeColor="text1"/>
                <w:sz w:val="24"/>
                <w:highlight w:val="none"/>
                <w:lang w:bidi="ar"/>
                <w14:textFill>
                  <w14:solidFill>
                    <w14:schemeClr w14:val="tx1"/>
                  </w14:solidFill>
                </w14:textFill>
              </w:rPr>
              <w:t>建设项目</w:t>
            </w:r>
          </w:p>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行业类别</w:t>
            </w:r>
            <w:bookmarkEnd w:id="1"/>
          </w:p>
        </w:tc>
        <w:tc>
          <w:tcPr>
            <w:tcW w:w="2914"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4"/>
                <w:highlight w:val="none"/>
                <w:lang w:val="en-US"/>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四十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一、电力、热力生产和供应业91-热力生产和供应工程（包括建设单位自建自用的供热工程）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建设性质</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bidi="ar"/>
                <w14:textFill>
                  <w14:solidFill>
                    <w14:schemeClr w14:val="tx1"/>
                  </w14:solidFill>
                </w14:textFill>
              </w:rPr>
              <w:t>□</w:t>
            </w:r>
            <w:r>
              <w:rPr>
                <w:rFonts w:ascii="Times New Roman" w:hAnsi="Times New Roman" w:eastAsia="宋体" w:cs="Times New Roman"/>
                <w:color w:val="000000" w:themeColor="text1"/>
                <w:sz w:val="24"/>
                <w:highlight w:val="none"/>
                <w:lang w:bidi="ar"/>
                <w14:textFill>
                  <w14:solidFill>
                    <w14:schemeClr w14:val="tx1"/>
                  </w14:solidFill>
                </w14:textFill>
              </w:rPr>
              <w:t>新建（迁建）</w:t>
            </w:r>
          </w:p>
          <w:p>
            <w:pPr>
              <w:jc w:val="left"/>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bidi="ar"/>
                <w14:textFill>
                  <w14:solidFill>
                    <w14:schemeClr w14:val="tx1"/>
                  </w14:solidFill>
                </w14:textFill>
              </w:rPr>
              <w:t>□</w:t>
            </w:r>
            <w:r>
              <w:rPr>
                <w:rFonts w:ascii="Times New Roman" w:hAnsi="Times New Roman" w:eastAsia="宋体" w:cs="Times New Roman"/>
                <w:color w:val="000000" w:themeColor="text1"/>
                <w:sz w:val="24"/>
                <w:highlight w:val="none"/>
                <w:lang w:bidi="ar"/>
                <w14:textFill>
                  <w14:solidFill>
                    <w14:schemeClr w14:val="tx1"/>
                  </w14:solidFill>
                </w14:textFill>
              </w:rPr>
              <w:t>改建</w:t>
            </w:r>
          </w:p>
          <w:p>
            <w:pPr>
              <w:jc w:val="left"/>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bidi="ar"/>
                <w14:textFill>
                  <w14:solidFill>
                    <w14:schemeClr w14:val="tx1"/>
                  </w14:solidFill>
                </w14:textFill>
              </w:rPr>
              <w:t>□</w:t>
            </w:r>
            <w:r>
              <w:rPr>
                <w:rFonts w:ascii="Times New Roman" w:hAnsi="Times New Roman" w:eastAsia="宋体" w:cs="Times New Roman"/>
                <w:color w:val="000000" w:themeColor="text1"/>
                <w:sz w:val="24"/>
                <w:highlight w:val="none"/>
                <w:lang w:bidi="ar"/>
                <w14:textFill>
                  <w14:solidFill>
                    <w14:schemeClr w14:val="tx1"/>
                  </w14:solidFill>
                </w14:textFill>
              </w:rPr>
              <w:t>扩建</w:t>
            </w:r>
          </w:p>
          <w:p>
            <w:pPr>
              <w:jc w:val="left"/>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bidi="ar"/>
                <w14:textFill>
                  <w14:solidFill>
                    <w14:schemeClr w14:val="tx1"/>
                  </w14:solidFill>
                </w14:textFill>
              </w:rPr>
              <w:t>☑</w:t>
            </w:r>
            <w:r>
              <w:rPr>
                <w:rFonts w:ascii="Times New Roman" w:hAnsi="Times New Roman" w:eastAsia="宋体" w:cs="Times New Roman"/>
                <w:color w:val="000000" w:themeColor="text1"/>
                <w:sz w:val="24"/>
                <w:highlight w:val="none"/>
                <w:lang w:bidi="ar"/>
                <w14:textFill>
                  <w14:solidFill>
                    <w14:schemeClr w14:val="tx1"/>
                  </w14:solidFill>
                </w14:textFill>
              </w:rPr>
              <w:t>技术改造</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建设项目</w:t>
            </w:r>
          </w:p>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申报情形</w:t>
            </w:r>
          </w:p>
        </w:tc>
        <w:tc>
          <w:tcPr>
            <w:tcW w:w="2914" w:type="dxa"/>
            <w:tcBorders>
              <w:top w:val="single" w:color="auto" w:sz="4" w:space="0"/>
              <w:left w:val="single" w:color="auto" w:sz="4" w:space="0"/>
              <w:bottom w:val="single" w:color="auto" w:sz="4" w:space="0"/>
              <w:right w:val="single" w:color="auto" w:sz="8" w:space="0"/>
            </w:tcBorders>
            <w:shd w:val="clear" w:color="auto" w:fill="auto"/>
            <w:vAlign w:val="center"/>
          </w:tcPr>
          <w:p>
            <w:pP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☑首次申报项目</w:t>
            </w:r>
          </w:p>
          <w:p>
            <w:pPr>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bidi="ar"/>
                <w14:textFill>
                  <w14:solidFill>
                    <w14:schemeClr w14:val="tx1"/>
                  </w14:solidFill>
                </w14:textFill>
              </w:rPr>
              <w:t>□</w:t>
            </w:r>
            <w:r>
              <w:rPr>
                <w:rFonts w:ascii="Times New Roman" w:hAnsi="Times New Roman" w:eastAsia="宋体" w:cs="Times New Roman"/>
                <w:color w:val="000000" w:themeColor="text1"/>
                <w:sz w:val="24"/>
                <w:highlight w:val="none"/>
                <w:lang w:bidi="ar"/>
                <w14:textFill>
                  <w14:solidFill>
                    <w14:schemeClr w14:val="tx1"/>
                  </w14:solidFill>
                </w14:textFill>
              </w:rPr>
              <w:t>不予批准后再次申报项目</w:t>
            </w:r>
          </w:p>
          <w:p>
            <w:pPr>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bidi="ar"/>
                <w14:textFill>
                  <w14:solidFill>
                    <w14:schemeClr w14:val="tx1"/>
                  </w14:solidFill>
                </w14:textFill>
              </w:rPr>
              <w:t>□</w:t>
            </w:r>
            <w:r>
              <w:rPr>
                <w:rFonts w:ascii="Times New Roman" w:hAnsi="Times New Roman" w:eastAsia="宋体" w:cs="Times New Roman"/>
                <w:color w:val="000000" w:themeColor="text1"/>
                <w:sz w:val="24"/>
                <w:highlight w:val="none"/>
                <w:lang w:bidi="ar"/>
                <w14:textFill>
                  <w14:solidFill>
                    <w14:schemeClr w14:val="tx1"/>
                  </w14:solidFill>
                </w14:textFill>
              </w:rPr>
              <w:t>超五年重新审核项目</w:t>
            </w:r>
          </w:p>
          <w:p>
            <w:pPr>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bidi="ar"/>
                <w14:textFill>
                  <w14:solidFill>
                    <w14:schemeClr w14:val="tx1"/>
                  </w14:solidFill>
                </w14:textFill>
              </w:rPr>
              <w:t>□</w:t>
            </w:r>
            <w:r>
              <w:rPr>
                <w:rFonts w:ascii="Times New Roman" w:hAnsi="Times New Roman" w:eastAsia="宋体" w:cs="Times New Roman"/>
                <w:color w:val="000000" w:themeColor="text1"/>
                <w:sz w:val="24"/>
                <w:highlight w:val="none"/>
                <w:lang w:bidi="ar"/>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项目审批（核准/备案）部门（选填）</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项目审批（核准/</w:t>
            </w:r>
          </w:p>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备案）文号（选填）</w:t>
            </w:r>
          </w:p>
        </w:tc>
        <w:tc>
          <w:tcPr>
            <w:tcW w:w="2914"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总投资（万元）</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300</w:t>
            </w:r>
          </w:p>
        </w:tc>
        <w:tc>
          <w:tcPr>
            <w:tcW w:w="1828"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环保投资（万元）</w:t>
            </w:r>
          </w:p>
        </w:tc>
        <w:tc>
          <w:tcPr>
            <w:tcW w:w="2914"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环保投资占比（%）</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100</w:t>
            </w:r>
          </w:p>
        </w:tc>
        <w:tc>
          <w:tcPr>
            <w:tcW w:w="1828"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施工工期</w:t>
            </w:r>
          </w:p>
        </w:tc>
        <w:tc>
          <w:tcPr>
            <w:tcW w:w="2914"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ascii="Times New Roman" w:hAnsi="Times New Roman" w:eastAsia="宋体" w:cs="Times New Roman"/>
                <w:color w:val="000000" w:themeColor="text1"/>
                <w:sz w:val="24"/>
                <w:highlight w:val="none"/>
                <w14:textFill>
                  <w14:solidFill>
                    <w14:schemeClr w14:val="tx1"/>
                  </w14:solidFill>
                </w14:textFill>
              </w:rPr>
              <w:t>个月</w:t>
            </w:r>
          </w:p>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ascii="Times New Roman" w:hAnsi="Times New Roman" w:eastAsia="宋体" w:cs="Times New Roman"/>
                <w:color w:val="000000" w:themeColor="text1"/>
                <w:sz w:val="24"/>
                <w:highlight w:val="none"/>
                <w14:textFill>
                  <w14:solidFill>
                    <w14:schemeClr w14:val="tx1"/>
                  </w14:solidFill>
                </w14:textFill>
              </w:rPr>
              <w:t>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ascii="Times New Roman" w:hAnsi="Times New Roman" w:eastAsia="宋体" w:cs="Times New Roman"/>
                <w:color w:val="000000" w:themeColor="text1"/>
                <w:sz w:val="24"/>
                <w:highlight w:val="none"/>
                <w14:textFill>
                  <w14:solidFill>
                    <w14:schemeClr w14:val="tx1"/>
                  </w14:solidFill>
                </w14:textFill>
              </w:rPr>
              <w:t>月-202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ascii="Times New Roman" w:hAnsi="Times New Roman" w:eastAsia="宋体" w:cs="Times New Roman"/>
                <w:color w:val="000000" w:themeColor="text1"/>
                <w:sz w:val="24"/>
                <w:highlight w:val="none"/>
                <w14:textFill>
                  <w14:solidFill>
                    <w14:schemeClr w14:val="tx1"/>
                  </w14:solidFill>
                </w14:textFill>
              </w:rPr>
              <w:t>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w:t>
            </w:r>
            <w:r>
              <w:rPr>
                <w:rFonts w:ascii="Times New Roman" w:hAnsi="Times New Roman" w:eastAsia="宋体" w:cs="Times New Roman"/>
                <w:color w:val="000000" w:themeColor="text1"/>
                <w:sz w:val="24"/>
                <w:highlight w:val="none"/>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是否开工建设</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☑否</w:t>
            </w:r>
          </w:p>
          <w:p>
            <w:pPr>
              <w:adjustRightInd w:val="0"/>
              <w:snapToGrid w:val="0"/>
              <w:rPr>
                <w:rFonts w:ascii="Times New Roman" w:hAnsi="Times New Roman" w:eastAsia="宋体" w:cs="Times New Roman"/>
                <w:color w:val="000000" w:themeColor="text1"/>
                <w:sz w:val="24"/>
                <w:highlight w:val="none"/>
                <w:u w:val="singl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□是：</w:t>
            </w:r>
            <w:r>
              <w:rPr>
                <w:rFonts w:ascii="Times New Roman" w:hAnsi="Times New Roman" w:eastAsia="宋体" w:cs="Times New Roman"/>
                <w:color w:val="000000" w:themeColor="text1"/>
                <w:sz w:val="24"/>
                <w:highlight w:val="none"/>
                <w:u w:val="single"/>
                <w:lang w:bidi="ar"/>
                <w14:textFill>
                  <w14:solidFill>
                    <w14:schemeClr w14:val="tx1"/>
                  </w14:solidFill>
                </w14:textFill>
              </w:rPr>
              <w:t xml:space="preserve">      </w:t>
            </w:r>
          </w:p>
        </w:tc>
        <w:tc>
          <w:tcPr>
            <w:tcW w:w="1828"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000000" w:themeColor="text1"/>
                <w:spacing w:val="-6"/>
                <w:sz w:val="24"/>
                <w:highlight w:val="none"/>
                <w14:textFill>
                  <w14:solidFill>
                    <w14:schemeClr w14:val="tx1"/>
                  </w14:solidFill>
                </w14:textFill>
              </w:rPr>
            </w:pPr>
            <w:r>
              <w:rPr>
                <w:rFonts w:ascii="Times New Roman" w:hAnsi="Times New Roman" w:eastAsia="宋体" w:cs="Times New Roman"/>
                <w:color w:val="000000" w:themeColor="text1"/>
                <w:spacing w:val="-6"/>
                <w:sz w:val="24"/>
                <w:highlight w:val="none"/>
                <w:lang w:bidi="ar"/>
                <w14:textFill>
                  <w14:solidFill>
                    <w14:schemeClr w14:val="tx1"/>
                  </w14:solidFill>
                </w14:textFill>
              </w:rPr>
              <w:t>用地（用海）</w:t>
            </w:r>
          </w:p>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pacing w:val="-6"/>
                <w:sz w:val="24"/>
                <w:highlight w:val="none"/>
                <w:lang w:bidi="ar"/>
                <w14:textFill>
                  <w14:solidFill>
                    <w14:schemeClr w14:val="tx1"/>
                  </w14:solidFill>
                </w14:textFill>
              </w:rPr>
              <w:t>面积（m</w:t>
            </w:r>
            <w:r>
              <w:rPr>
                <w:rFonts w:ascii="Times New Roman" w:hAnsi="Times New Roman" w:eastAsia="宋体" w:cs="Times New Roman"/>
                <w:color w:val="000000" w:themeColor="text1"/>
                <w:spacing w:val="-6"/>
                <w:sz w:val="24"/>
                <w:highlight w:val="none"/>
                <w:vertAlign w:val="superscript"/>
                <w:lang w:bidi="ar"/>
                <w14:textFill>
                  <w14:solidFill>
                    <w14:schemeClr w14:val="tx1"/>
                  </w14:solidFill>
                </w14:textFill>
              </w:rPr>
              <w:t>2</w:t>
            </w:r>
            <w:r>
              <w:rPr>
                <w:rFonts w:ascii="Times New Roman" w:hAnsi="Times New Roman" w:eastAsia="宋体" w:cs="Times New Roman"/>
                <w:color w:val="000000" w:themeColor="text1"/>
                <w:spacing w:val="-6"/>
                <w:sz w:val="24"/>
                <w:highlight w:val="none"/>
                <w:lang w:bidi="ar"/>
                <w14:textFill>
                  <w14:solidFill>
                    <w14:schemeClr w14:val="tx1"/>
                  </w14:solidFill>
                </w14:textFill>
              </w:rPr>
              <w:t>）</w:t>
            </w:r>
          </w:p>
        </w:tc>
        <w:tc>
          <w:tcPr>
            <w:tcW w:w="2914"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lang w:bidi="ar"/>
                <w14:textFill>
                  <w14:solidFill>
                    <w14:schemeClr w14:val="tx1"/>
                  </w14:solidFill>
                </w14:textFill>
              </w:rPr>
              <w:t>专项评价设置情况</w:t>
            </w:r>
          </w:p>
        </w:tc>
        <w:tc>
          <w:tcPr>
            <w:tcW w:w="7435"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cs="Times New Roman"/>
                <w:color w:val="000000" w:themeColor="text1"/>
                <w:kern w:val="21"/>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规划情况</w:t>
            </w:r>
          </w:p>
        </w:tc>
        <w:tc>
          <w:tcPr>
            <w:tcW w:w="7435"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规划名称：《河北围场经济开发区总体规划（2023-2035年）》</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审批机关：</w:t>
            </w: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审批文号：</w:t>
            </w: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规划环境影响</w:t>
            </w:r>
          </w:p>
          <w:p>
            <w:pPr>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sz w:val="24"/>
                <w:highlight w:val="none"/>
                <w:lang w:bidi="ar"/>
                <w14:textFill>
                  <w14:solidFill>
                    <w14:schemeClr w14:val="tx1"/>
                  </w14:solidFill>
                </w14:textFill>
              </w:rPr>
              <w:t>评价情况</w:t>
            </w:r>
          </w:p>
        </w:tc>
        <w:tc>
          <w:tcPr>
            <w:tcW w:w="7435"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规划环评文件名称：《河北围场经济开发区总体规划（2023-2035年）环境影响报告书》；</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审查机关：河北省生态环境厅</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审查文件名称：关于《河北围场经济开发区总体规划（2023-2035年）环境影响报告书》的审查意见</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文号：冀环环评函〔2023〕1602号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399" w:hRule="atLeast"/>
          <w:jc w:val="center"/>
        </w:trPr>
        <w:tc>
          <w:tcPr>
            <w:tcW w:w="1496"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ascii="Times New Roman" w:hAnsi="Times New Roman" w:eastAsia="宋体" w:cs="Times New Roman"/>
                <w:color w:val="000000" w:themeColor="text1"/>
                <w:sz w:val="24"/>
                <w:highlight w:val="none"/>
                <w:lang w:bidi="ar"/>
                <w14:textFill>
                  <w14:solidFill>
                    <w14:schemeClr w14:val="tx1"/>
                  </w14:solidFill>
                </w14:textFill>
              </w:rPr>
            </w:pPr>
            <w:r>
              <w:rPr>
                <w:rFonts w:ascii="Times New Roman" w:hAnsi="Times New Roman" w:eastAsia="宋体" w:cs="Times New Roman"/>
                <w:color w:val="000000" w:themeColor="text1"/>
                <w:kern w:val="0"/>
                <w:sz w:val="24"/>
                <w:highlight w:val="none"/>
                <w:lang w:bidi="ar"/>
                <w14:textFill>
                  <w14:solidFill>
                    <w14:schemeClr w14:val="tx1"/>
                  </w14:solidFill>
                </w14:textFill>
              </w:rPr>
              <w:t>规划及规划环境影响评价符合性分析</w:t>
            </w:r>
          </w:p>
        </w:tc>
        <w:tc>
          <w:tcPr>
            <w:tcW w:w="7435"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与《</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河北围场经济开发区总体规划（2023-2035年）</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pP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规划中北部经济活跃区内的</w:t>
            </w:r>
            <w:r>
              <w:rPr>
                <w:rFonts w:ascii="宋体" w:hAnsi="宋体" w:eastAsia="宋体" w:cs="宋体"/>
                <w:color w:val="000000" w:themeColor="text1"/>
                <w:sz w:val="24"/>
                <w:szCs w:val="24"/>
                <w:highlight w:val="none"/>
                <w14:textFill>
                  <w14:solidFill>
                    <w14:schemeClr w14:val="tx1"/>
                  </w14:solidFill>
                </w14:textFill>
              </w:rPr>
              <w:t>林木加工产业组团</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主要产业发展方向为主要发展木材加工和木制品业C20、家具制造业C21，辅助发展非金属矿物制品业C30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项目位于河北省承德市围场满族蒙古族自治县经济开发区围场镇金字村承德森禧木业有限公司厂区内，属于北部经济活跃区内的林木加工产业组团。承德森禧木业有限公司</w:t>
            </w:r>
            <w:r>
              <w:rPr>
                <w:rFonts w:hint="eastAsia"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属于规划中的在建企业，主行业为《国民经济行业分类》（GB/T4754-2017）及其2019修改单中“2023刨花板制造”，</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河北围场经济开发区总体规划（2023-2035年）</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》的产业发展方向。</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（2）与</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《河北围场经济开发区总体规划（2023-2035年）环境影响报告书》</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符合性分析：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规划中北部经济活跃区内的</w:t>
            </w:r>
            <w:r>
              <w:rPr>
                <w:rFonts w:ascii="宋体" w:hAnsi="宋体" w:eastAsia="宋体" w:cs="宋体"/>
                <w:color w:val="000000" w:themeColor="text1"/>
                <w:sz w:val="24"/>
                <w:szCs w:val="24"/>
                <w:highlight w:val="none"/>
                <w14:textFill>
                  <w14:solidFill>
                    <w14:schemeClr w14:val="tx1"/>
                  </w14:solidFill>
                </w14:textFill>
              </w:rPr>
              <w:t>林木加工产业组团</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主要产业发展方向为主要发展木材加工和木制品业C20、家具制 造业C21，辅助发展非金属矿物制品业C30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项目位于河北省承德市围场满族蒙古族自治县经济开发区围场镇金字村承德森禧木业有限公司厂区内，属于北部经济活跃区内的林木加工产业组团。承德森禧木业有限公司</w:t>
            </w:r>
            <w:r>
              <w:rPr>
                <w:rFonts w:hint="eastAsia"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属于规划中的在建企业，本项目为技改项目，建设内容主要包括</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对热能中心</w:t>
            </w:r>
            <w:r>
              <w:rPr>
                <w:rFonts w:hint="eastAsia" w:ascii="Times New Roman" w:hAnsi="Times New Roman"/>
                <w:color w:val="000000" w:themeColor="text1"/>
                <w:sz w:val="24"/>
                <w:highlight w:val="none"/>
                <w:lang w:val="en-US" w:eastAsia="zh-CN"/>
                <w14:textFill>
                  <w14:solidFill>
                    <w14:schemeClr w14:val="tx1"/>
                  </w14:solidFill>
                </w14:textFill>
              </w:rPr>
              <w:t>锅炉鼓风系统进行改造，提升风机出入口管道高度，更换电缆、更换鼓风机电机，将一次鼓风机风量升级为75000m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/h，项目的建设与</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北部经济活跃区内的</w:t>
            </w:r>
            <w:r>
              <w:rPr>
                <w:rFonts w:ascii="宋体" w:hAnsi="宋体" w:eastAsia="宋体" w:cs="宋体"/>
                <w:color w:val="000000" w:themeColor="text1"/>
                <w:sz w:val="24"/>
                <w:szCs w:val="24"/>
                <w:highlight w:val="none"/>
                <w14:textFill>
                  <w14:solidFill>
                    <w14:schemeClr w14:val="tx1"/>
                  </w14:solidFill>
                </w14:textFill>
              </w:rPr>
              <w:t>林木加工产业组团</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主要产业发展方向</w:t>
            </w:r>
            <w:r>
              <w:rPr>
                <w:rFonts w:hint="eastAsia" w:ascii="Times New Roman" w:hAnsi="Times New Roman" w:cs="Times New Roman"/>
                <w:color w:val="000000" w:themeColor="text1"/>
                <w:kern w:val="21"/>
                <w:sz w:val="24"/>
                <w:szCs w:val="24"/>
                <w:highlight w:val="none"/>
                <w:lang w:val="en-US" w:eastAsia="zh-CN"/>
                <w14:textFill>
                  <w14:solidFill>
                    <w14:schemeClr w14:val="tx1"/>
                  </w14:solidFill>
                </w14:textFill>
              </w:rPr>
              <w:t>不冲突，</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项目建设符合《</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河北围场经济开发区总体规划（2023-2035年）环境影响报告书</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》的相关要求。</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与《河北围场经济开发区总体规划（2023-2035年）环境影响报告书》审查意见的符合性</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p>
          <w:p>
            <w:pPr>
              <w:pStyle w:val="47"/>
              <w:keepNext w:val="0"/>
              <w:keepLines w:val="0"/>
              <w:pageBreakBefore w:val="0"/>
              <w:widowControl w:val="0"/>
              <w:numPr>
                <w:ilvl w:val="0"/>
                <w:numId w:val="3"/>
              </w:numPr>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项目</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与</w:t>
            </w:r>
            <w: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审查意见</w:t>
            </w:r>
            <w: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Cs w:val="21"/>
                <w:highlight w:val="none"/>
                <w14:textFill>
                  <w14:solidFill>
                    <w14:schemeClr w14:val="tx1"/>
                  </w14:solidFill>
                </w14:textFill>
              </w:rPr>
              <w:t>符合性分析表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2997"/>
              <w:gridCol w:w="2742"/>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序号</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审查意见内容</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本项目相关内容</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落实国家、区域发展战略，坚持生态优先、提质增效，以生态环境质量改善为核心，做好与各级国土空间规划和</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三线一单</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生态环境分区管控体系的协调衔接</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经后文分析，项目建设符合围场国土空间规划和承德市“三线一单”的管控要求</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推进绿色低碳发展，实现减污降碳协同增效目标。根据国家、地方碳减排和碳达峰行动方案及路径要求，进一步优化开发区产业结构，引导产业健康低碳发展，提升工业能效；推进能源消费绿色低碳化转型，严格控制煤炭消费总量，加快燃气基础设施建设，扩大电气化终端用能设备使用比例，大力发展新能源；推动形成绿色低碳运输方式等</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现有工程热能中心45MW生物质锅炉采用生物质为燃料。本项目为技改项目主要对热能中心大气污染物排放标准进行变更，同时对热能中心锅炉鼓风系统进行改造，提升风机出入口管道高度，更换电缆、更换鼓风机电机，将一次鼓风机风量升级为75000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/h。技改项目的建设不增加燃料消耗量，符合审查意见相关要求。</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严格环境准入条件，落实生态环境准入要求。落实《报告书》提出的开发区生态环境准入要求和现有企业环境管理要求；严格落实地表水环境减缓对策及措施，进一步降低规划实施对地表水环境的影响；推进区域水资源集约节约利用，逐步增加再生水使用比例，严格控制新水用量；强化现有及入区企业污染物及碳排放控制要求，促进开发区产业转型升级与生态环境保护、人居环境安全相协调</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现有工程</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为《河北围场经济开发区总体规划（2023-2035年）环境影响报告书》中规划的在建项目，项目建设符合开发区生态环境准入要求，</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本技改</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无新增废水产生，符合审查意见相关要求。</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严格空间管控要求，进一步优化空间布局。结合国土空间总体规划最新成果以及“三线一单”生态环境分区管控要求，进一步强化空间管控。禁止在规划绿地范围内开展与绿地无关的建设活动；禁止违规占用河道管理范围及国家重点公益林；加强对开发区周边生态保护红线等环境敏感区的保护，合理布局入区污染企业，严格遵守其相关管理要求；落实开发区内沙化土地开发前、建设过程中、开发后三阶段的防沙治沙措施；合理控制周边建设项目布局，确保开发区内企业与敏感点保持足够的环境风险防护距离，减少突发事件可能对居民区环境产生的影响。</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本技改项目在现有厂区进行建设，不新增占地，经后文分析，技改</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项目建设符合《河北围场经济开发区国土空间总体规划》（2023-2035）的要求</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“三线一单”生态环境分区管控要求</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严守环境质量底线，强化污染物排放总量管控。根据国家、河北省及承德市污染防治规划和区域“三线一单”生态环境分区管控相关要求，严格落实《报告书》提出的污染物排放管控要求，制定并落实开发区污染物减排方案，采取有效措施减少污染物排放量，确保区域环境质量持续改善，促进产业发展与生态环境保护相协调</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经项目“三线一单”符合性分析，项目的建设不会突破环境质量底线要求，企业污染物排放满足总量控制指标标准限值要求，</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《河北围场经济开发区总体规划（2023-2035年）环境影响报告书》提出的污染物排放管控要求</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优化运输方式，落实应急运输响应方案。鼓励开发区提高清洁能源汽车运输比例，优化区域运输方式，减轻运输产生的不利环境影响。结合秋冬行业错峰生产和重污染天气应急响应要求，在黄色及以上重污染天气预警期间，重点用车企业实施应急运输响应。</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热能中心45MW生物质锅炉所用燃料主要为不合格原料及产品边角料，部分外购生物质燃料采用</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汽车运输，减轻运输产生的不利环境影响。</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健全完善环境监测体系，强化环境风险防范。建立完善包括环境空气、地表水、地下水、土壤生态环境等环境要素的监控体系；落实开发区及区域三级环境风险防控设施及应急处置措施，建立应急响应联动机制。严格落实《报告书》提出的各项环境风险防控措施，提升环境风险防控和应急响应能力，保障区域环境安全</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严格落实《河北围场经济开发区总体规划（2023-2035年）环境影响报告书》提出的各项环境风险防控措施，提升环境风险防控和应急响应能力，保障区域环境安全</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符合要求</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88" w:lineRule="auto"/>
              <w:ind w:leftChars="0" w:firstLine="480" w:firstLineChars="200"/>
              <w:jc w:val="both"/>
              <w:textAlignment w:val="auto"/>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综上分析，项目建设符合《</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河北围场经济开发区总体规划（2023-2035年）环境影响报告书》审查意见</w:t>
            </w:r>
            <w:r>
              <w:rPr>
                <w:rFonts w:ascii="Times New Roman" w:hAnsi="Times New Roman" w:eastAsia="宋体" w:cs="Times New Roman"/>
                <w:color w:val="000000" w:themeColor="text1"/>
                <w:kern w:val="0"/>
                <w:sz w:val="24"/>
                <w:highlight w:val="none"/>
                <w14:textFill>
                  <w14:solidFill>
                    <w14:schemeClr w14:val="tx1"/>
                  </w14:solidFill>
                </w14:textFill>
              </w:rPr>
              <w:t>相关要求</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p>
        </w:tc>
      </w:tr>
    </w:tbl>
    <w:p>
      <w:pPr>
        <w:adjustRightInd w:val="0"/>
        <w:snapToGrid w:val="0"/>
        <w:rPr>
          <w:rFonts w:ascii="Times New Roman" w:hAnsi="Times New Roman" w:eastAsia="黑体" w:cs="Times New Roman"/>
          <w:color w:val="000000" w:themeColor="text1"/>
          <w:sz w:val="30"/>
          <w:highlight w:val="none"/>
          <w:lang w:bidi="ar"/>
          <w14:textFill>
            <w14:solidFill>
              <w14:schemeClr w14:val="tx1"/>
            </w14:solidFill>
          </w14:textFill>
        </w:rPr>
        <w:sectPr>
          <w:footerReference r:id="rId4" w:type="default"/>
          <w:pgSz w:w="11906" w:h="16838"/>
          <w:pgMar w:top="1702" w:right="1531" w:bottom="1702" w:left="1531" w:header="851" w:footer="1077" w:gutter="0"/>
          <w:pgNumType w:start="1"/>
          <w:cols w:space="425" w:num="1"/>
          <w:docGrid w:type="lines" w:linePitch="312"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0"/>
        <w:gridCol w:w="84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90" w:hRule="atLeast"/>
          <w:jc w:val="center"/>
        </w:trPr>
        <w:tc>
          <w:tcPr>
            <w:tcW w:w="410"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lang w:bidi="ar"/>
                <w14:textFill>
                  <w14:solidFill>
                    <w14:schemeClr w14:val="tx1"/>
                  </w14:solidFill>
                </w14:textFill>
              </w:rPr>
              <w:t>其他符合性分析</w:t>
            </w:r>
          </w:p>
        </w:tc>
        <w:tc>
          <w:tcPr>
            <w:tcW w:w="8460" w:type="dxa"/>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1、国家和地方产业政策的符合性</w:t>
            </w:r>
            <w:r>
              <w:rPr>
                <w:rFonts w:hint="eastAsia" w:ascii="Times New Roman" w:hAnsi="Times New Roman" w:cs="Times New Roman"/>
                <w:b/>
                <w:bCs/>
                <w:color w:val="000000" w:themeColor="text1"/>
                <w:sz w:val="24"/>
                <w:highlight w:val="none"/>
                <w14:textFill>
                  <w14:solidFill>
                    <w14:schemeClr w14:val="tx1"/>
                  </w14:solidFill>
                </w14:textFill>
              </w:rPr>
              <w:t>分析</w:t>
            </w:r>
          </w:p>
          <w:p>
            <w:pPr>
              <w:spacing w:line="360" w:lineRule="auto"/>
              <w:ind w:firstLine="480" w:firstLineChars="20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根据国家发改委《产业结构调整指导目录（20</w:t>
            </w:r>
            <w:r>
              <w:rPr>
                <w:rFonts w:hint="eastAsia" w:ascii="Times New Roman" w:hAnsi="Times New Roman" w:cs="Times New Roman"/>
                <w:color w:val="000000" w:themeColor="text1"/>
                <w:sz w:val="24"/>
                <w:highlight w:val="none"/>
                <w:lang w:val="en-US" w:eastAsia="zh-CN"/>
                <w14:textFill>
                  <w14:solidFill>
                    <w14:schemeClr w14:val="tx1"/>
                  </w14:solidFill>
                </w14:textFill>
              </w:rPr>
              <w:t>24</w:t>
            </w:r>
            <w:r>
              <w:rPr>
                <w:rFonts w:ascii="Times New Roman" w:hAnsi="Times New Roman" w:cs="Times New Roman"/>
                <w:color w:val="000000" w:themeColor="text1"/>
                <w:sz w:val="24"/>
                <w:highlight w:val="none"/>
                <w14:textFill>
                  <w14:solidFill>
                    <w14:schemeClr w14:val="tx1"/>
                  </w14:solidFill>
                </w14:textFill>
              </w:rPr>
              <w:t>年本）》，本项目为热力生产和供应业，不在限制类和淘汰类之列；同时，项目未列入《市场准入负面清单（2022 年版）》</w:t>
            </w:r>
            <w:r>
              <w:rPr>
                <w:rFonts w:hint="eastAsia" w:ascii="Times New Roman" w:hAnsi="Times New Roman" w:cs="Times New Roman"/>
                <w:color w:val="000000" w:themeColor="text1"/>
                <w:sz w:val="24"/>
                <w:highlight w:val="none"/>
                <w:lang w:eastAsia="zh-CN"/>
                <w14:textFill>
                  <w14:solidFill>
                    <w14:schemeClr w14:val="tx1"/>
                  </w14:solidFill>
                </w14:textFill>
              </w:rPr>
              <w:t>。</w:t>
            </w:r>
          </w:p>
          <w:p>
            <w:pPr>
              <w:adjustRightInd w:val="0"/>
              <w:snapToGrid w:val="0"/>
              <w:spacing w:line="360" w:lineRule="auto"/>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2</w:t>
            </w:r>
            <w:r>
              <w:rPr>
                <w:rFonts w:ascii="Times New Roman" w:hAnsi="Times New Roman" w:eastAsia="宋体" w:cs="Times New Roman"/>
                <w:b/>
                <w:bCs/>
                <w:color w:val="000000" w:themeColor="text1"/>
                <w:sz w:val="24"/>
                <w:highlight w:val="none"/>
                <w14:textFill>
                  <w14:solidFill>
                    <w14:schemeClr w14:val="tx1"/>
                  </w14:solidFill>
                </w14:textFill>
              </w:rPr>
              <w:t>、“三线一单”符合性分析</w:t>
            </w:r>
          </w:p>
          <w:p>
            <w:pPr>
              <w:adjustRightInd w:val="0"/>
              <w:snapToGrid w:val="0"/>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根据《关于以改善环境质量为核心加强环境影响评价管理的通知》（环境保护部文件：环环评[2016]150号）、《承德市人民政府关于加快实施“三线一单”生态环境分区管控的意见》（承德市人民政府2021年6月18发布），对“三线一单”的要求，进行项目“三线一单”符合性分析，判定内容如下表所示：</w:t>
            </w:r>
          </w:p>
          <w:p>
            <w:pPr>
              <w:pStyle w:val="45"/>
              <w:numPr>
                <w:ilvl w:val="0"/>
                <w:numId w:val="4"/>
              </w:numPr>
              <w:spacing w:line="240" w:lineRule="auto"/>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项目与“三线一单”符合性分析表</w:t>
            </w:r>
          </w:p>
          <w:tbl>
            <w:tblPr>
              <w:tblStyle w:val="22"/>
              <w:tblW w:w="8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303"/>
              <w:gridCol w:w="3495"/>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54" w:type="dxa"/>
                  <w:vAlign w:val="center"/>
                </w:tcPr>
                <w:p>
                  <w:pPr>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序号</w:t>
                  </w:r>
                </w:p>
              </w:tc>
              <w:tc>
                <w:tcPr>
                  <w:tcW w:w="3303" w:type="dxa"/>
                  <w:vAlign w:val="center"/>
                </w:tcPr>
                <w:p>
                  <w:pPr>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分析内容</w:t>
                  </w:r>
                </w:p>
              </w:tc>
              <w:tc>
                <w:tcPr>
                  <w:tcW w:w="3495" w:type="dxa"/>
                  <w:vAlign w:val="center"/>
                </w:tcPr>
                <w:p>
                  <w:pPr>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企业情况</w:t>
                  </w:r>
                </w:p>
              </w:tc>
              <w:tc>
                <w:tcPr>
                  <w:tcW w:w="807" w:type="dxa"/>
                  <w:vAlign w:val="center"/>
                </w:tcPr>
                <w:p>
                  <w:pPr>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654"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生态保护红线</w:t>
                  </w:r>
                </w:p>
              </w:tc>
              <w:tc>
                <w:tcPr>
                  <w:tcW w:w="3303"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生态保护红线是生态空间范围内具有特殊重要生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础设施项目外，在生态保护红线范围内，严控各类开发建设活动，依法不予审批技改工业项目和矿产开发项目的环评文件。</w:t>
                  </w:r>
                </w:p>
              </w:tc>
              <w:tc>
                <w:tcPr>
                  <w:tcW w:w="3495"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本项目位于</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河北省承德市围场满族蒙</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古族自治县</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经济开发区（围场镇金</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字</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村3组23号）承德森禧木业有限公司</w:t>
                  </w:r>
                  <w:r>
                    <w:rPr>
                      <w:rFonts w:hint="eastAsia" w:ascii="Times New Roman" w:hAnsi="Times New Roman" w:eastAsia="宋体" w:cs="Times New Roman"/>
                      <w:color w:val="000000" w:themeColor="text1"/>
                      <w:szCs w:val="21"/>
                      <w:highlight w:val="none"/>
                      <w14:textFill>
                        <w14:solidFill>
                          <w14:schemeClr w14:val="tx1"/>
                        </w14:solidFill>
                      </w14:textFill>
                    </w:rPr>
                    <w:t>厂区内</w:t>
                  </w:r>
                  <w:r>
                    <w:rPr>
                      <w:rFonts w:ascii="Times New Roman" w:hAnsi="Times New Roman" w:eastAsia="宋体" w:cs="Times New Roman"/>
                      <w:color w:val="000000" w:themeColor="text1"/>
                      <w:szCs w:val="21"/>
                      <w:highlight w:val="none"/>
                      <w14:textFill>
                        <w14:solidFill>
                          <w14:schemeClr w14:val="tx1"/>
                        </w14:solidFill>
                      </w14:textFill>
                    </w:rPr>
                    <w:t>，评价范围内无自然保护区、饮用水水源地保护区和其他特别需要保护的敏感目标，本项目不在生态保护红线范围内，</w:t>
                  </w:r>
                  <w:r>
                    <w:rPr>
                      <w:rFonts w:hint="eastAsia" w:ascii="Times New Roman" w:hAnsi="Times New Roman" w:eastAsia="宋体" w:cs="Times New Roman"/>
                      <w:color w:val="000000" w:themeColor="text1"/>
                      <w:szCs w:val="21"/>
                      <w:highlight w:val="none"/>
                      <w14:textFill>
                        <w14:solidFill>
                          <w14:schemeClr w14:val="tx1"/>
                        </w14:solidFill>
                      </w14:textFill>
                    </w:rPr>
                    <w:t>距离</w:t>
                  </w:r>
                  <w:r>
                    <w:rPr>
                      <w:rFonts w:ascii="Times New Roman" w:hAnsi="Times New Roman" w:eastAsia="宋体" w:cs="Times New Roman"/>
                      <w:color w:val="000000" w:themeColor="text1"/>
                      <w:szCs w:val="21"/>
                      <w:highlight w:val="none"/>
                      <w14:textFill>
                        <w14:solidFill>
                          <w14:schemeClr w14:val="tx1"/>
                        </w14:solidFill>
                      </w14:textFill>
                    </w:rPr>
                    <w:t>生态保护红线</w:t>
                  </w:r>
                  <w:r>
                    <w:rPr>
                      <w:rFonts w:hint="eastAsia" w:ascii="Times New Roman" w:hAnsi="Times New Roman" w:eastAsia="宋体" w:cs="Times New Roman"/>
                      <w:color w:val="000000" w:themeColor="text1"/>
                      <w:szCs w:val="21"/>
                      <w:highlight w:val="none"/>
                      <w14:textFill>
                        <w14:solidFill>
                          <w14:schemeClr w14:val="tx1"/>
                        </w14:solidFill>
                      </w14:textFill>
                    </w:rPr>
                    <w:t>最近距离45m，</w:t>
                  </w:r>
                  <w:r>
                    <w:rPr>
                      <w:rFonts w:ascii="Times New Roman" w:hAnsi="Times New Roman" w:eastAsia="宋体" w:cs="Times New Roman"/>
                      <w:color w:val="000000" w:themeColor="text1"/>
                      <w:szCs w:val="21"/>
                      <w:highlight w:val="none"/>
                      <w14:textFill>
                        <w14:solidFill>
                          <w14:schemeClr w14:val="tx1"/>
                        </w14:solidFill>
                      </w14:textFill>
                    </w:rPr>
                    <w:t>符</w:t>
                  </w:r>
                  <w:r>
                    <w:rPr>
                      <w:rFonts w:hint="eastAsia" w:ascii="Times New Roman" w:hAnsi="Times New Roman" w:eastAsia="宋体" w:cs="Times New Roman"/>
                      <w:color w:val="000000" w:themeColor="text1"/>
                      <w:szCs w:val="21"/>
                      <w:highlight w:val="none"/>
                      <w14:textFill>
                        <w14:solidFill>
                          <w14:schemeClr w14:val="tx1"/>
                        </w14:solidFill>
                      </w14:textFill>
                    </w:rPr>
                    <w:t>合</w:t>
                  </w:r>
                  <w:r>
                    <w:rPr>
                      <w:rFonts w:ascii="Times New Roman" w:hAnsi="Times New Roman" w:eastAsia="宋体" w:cs="Times New Roman"/>
                      <w:color w:val="000000" w:themeColor="text1"/>
                      <w:szCs w:val="21"/>
                      <w:highlight w:val="none"/>
                      <w14:textFill>
                        <w14:solidFill>
                          <w14:schemeClr w14:val="tx1"/>
                        </w14:solidFill>
                      </w14:textFill>
                    </w:rPr>
                    <w:t>生态保护红线要求</w:t>
                  </w:r>
                </w:p>
              </w:tc>
              <w:tc>
                <w:tcPr>
                  <w:tcW w:w="807"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54"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环境质量底线</w:t>
                  </w:r>
                </w:p>
              </w:tc>
              <w:tc>
                <w:tcPr>
                  <w:tcW w:w="3303"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3495"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根据《</w:t>
                  </w:r>
                  <w:r>
                    <w:rPr>
                      <w:rFonts w:hint="eastAsia" w:ascii="Times New Roman" w:hAnsi="Times New Roman"/>
                      <w:color w:val="000000" w:themeColor="text1"/>
                      <w:szCs w:val="21"/>
                      <w:highlight w:val="none"/>
                      <w14:textFill>
                        <w14:solidFill>
                          <w14:schemeClr w14:val="tx1"/>
                        </w14:solidFill>
                      </w14:textFill>
                    </w:rPr>
                    <w:t>202</w:t>
                  </w:r>
                  <w:r>
                    <w:rPr>
                      <w:rFonts w:hint="eastAsia" w:ascii="Times New Roman" w:hAnsi="Times New Roman"/>
                      <w:color w:val="000000" w:themeColor="text1"/>
                      <w:szCs w:val="21"/>
                      <w:highlight w:val="none"/>
                      <w:lang w:val="en-US" w:eastAsia="zh-CN"/>
                      <w14:textFill>
                        <w14:solidFill>
                          <w14:schemeClr w14:val="tx1"/>
                        </w14:solidFill>
                      </w14:textFill>
                    </w:rPr>
                    <w:t>2</w:t>
                  </w:r>
                  <w:r>
                    <w:rPr>
                      <w:rFonts w:hint="eastAsia" w:ascii="Times New Roman" w:hAnsi="Times New Roman"/>
                      <w:color w:val="000000" w:themeColor="text1"/>
                      <w:szCs w:val="21"/>
                      <w:highlight w:val="none"/>
                      <w14:textFill>
                        <w14:solidFill>
                          <w14:schemeClr w14:val="tx1"/>
                        </w14:solidFill>
                      </w14:textFill>
                    </w:rPr>
                    <w:t>年承德市生态环境状况公报</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围场</w:t>
                  </w:r>
                  <w:r>
                    <w:rPr>
                      <w:rFonts w:hint="eastAsia" w:ascii="Times New Roman" w:hAnsi="Times New Roman" w:cs="Times New Roman"/>
                      <w:color w:val="000000" w:themeColor="text1"/>
                      <w:szCs w:val="21"/>
                      <w:highlight w:val="none"/>
                      <w14:textFill>
                        <w14:solidFill>
                          <w14:schemeClr w14:val="tx1"/>
                        </w14:solidFill>
                      </w14:textFill>
                    </w:rPr>
                    <w:t>县</w:t>
                  </w:r>
                  <w:r>
                    <w:rPr>
                      <w:rFonts w:ascii="Times New Roman" w:hAnsi="Times New Roman" w:cs="Times New Roman"/>
                      <w:color w:val="000000" w:themeColor="text1"/>
                      <w:szCs w:val="21"/>
                      <w:highlight w:val="none"/>
                      <w14:textFill>
                        <w14:solidFill>
                          <w14:schemeClr w14:val="tx1"/>
                        </w14:solidFill>
                      </w14:textFill>
                    </w:rPr>
                    <w:t>环境空气质量各常规污染物均满足《环境空气质量标准》（GB3095-2012）及其修改单的二级标准要求</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项目所在区域为达标区</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项目产生的</w:t>
                  </w:r>
                  <w:r>
                    <w:rPr>
                      <w:rFonts w:hint="eastAsia" w:ascii="Times New Roman" w:hAnsi="Times New Roman" w:cs="Times New Roman"/>
                      <w:color w:val="000000" w:themeColor="text1"/>
                      <w:szCs w:val="21"/>
                      <w:highlight w:val="none"/>
                      <w14:textFill>
                        <w14:solidFill>
                          <w14:schemeClr w14:val="tx1"/>
                        </w14:solidFill>
                      </w14:textFill>
                    </w:rPr>
                    <w:t>废气</w:t>
                  </w:r>
                  <w:r>
                    <w:rPr>
                      <w:rFonts w:ascii="Times New Roman" w:hAnsi="Times New Roman" w:cs="Times New Roman"/>
                      <w:color w:val="000000" w:themeColor="text1"/>
                      <w:szCs w:val="21"/>
                      <w:highlight w:val="none"/>
                      <w14:textFill>
                        <w14:solidFill>
                          <w14:schemeClr w14:val="tx1"/>
                        </w14:solidFill>
                      </w14:textFill>
                    </w:rPr>
                    <w:t>污染物采取相应措施后</w:t>
                  </w:r>
                  <w:r>
                    <w:rPr>
                      <w:rFonts w:hint="eastAsia" w:ascii="Times New Roman" w:hAnsi="Times New Roman" w:cs="Times New Roman"/>
                      <w:color w:val="000000" w:themeColor="text1"/>
                      <w:szCs w:val="21"/>
                      <w:highlight w:val="none"/>
                      <w14:textFill>
                        <w14:solidFill>
                          <w14:schemeClr w14:val="tx1"/>
                        </w14:solidFill>
                      </w14:textFill>
                    </w:rPr>
                    <w:t>可达标排放</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对大气环境影响较小，不会突破项目所在地</w:t>
                  </w:r>
                  <w:r>
                    <w:rPr>
                      <w:rFonts w:ascii="Times New Roman" w:hAnsi="Times New Roman" w:cs="Times New Roman"/>
                      <w:color w:val="000000" w:themeColor="text1"/>
                      <w:szCs w:val="21"/>
                      <w:highlight w:val="none"/>
                      <w14:textFill>
                        <w14:solidFill>
                          <w14:schemeClr w14:val="tx1"/>
                        </w14:solidFill>
                      </w14:textFill>
                    </w:rPr>
                    <w:t>环境</w:t>
                  </w:r>
                  <w:r>
                    <w:rPr>
                      <w:rFonts w:hint="eastAsia" w:ascii="Times New Roman" w:hAnsi="Times New Roman" w:cs="Times New Roman"/>
                      <w:color w:val="000000" w:themeColor="text1"/>
                      <w:szCs w:val="21"/>
                      <w:highlight w:val="none"/>
                      <w14:textFill>
                        <w14:solidFill>
                          <w14:schemeClr w14:val="tx1"/>
                        </w14:solidFill>
                      </w14:textFill>
                    </w:rPr>
                    <w:t>空气</w:t>
                  </w:r>
                  <w:r>
                    <w:rPr>
                      <w:rFonts w:ascii="Times New Roman" w:hAnsi="Times New Roman" w:cs="Times New Roman"/>
                      <w:color w:val="000000" w:themeColor="text1"/>
                      <w:szCs w:val="21"/>
                      <w:highlight w:val="none"/>
                      <w14:textFill>
                        <w14:solidFill>
                          <w14:schemeClr w14:val="tx1"/>
                        </w14:solidFill>
                      </w14:textFill>
                    </w:rPr>
                    <w:t>质量底线的要求</w:t>
                  </w:r>
                  <w:r>
                    <w:rPr>
                      <w:rFonts w:hint="eastAsia" w:ascii="Times New Roman" w:hAnsi="Times New Roman" w:cs="Times New Roman"/>
                      <w:color w:val="000000" w:themeColor="text1"/>
                      <w:szCs w:val="21"/>
                      <w:highlight w:val="none"/>
                      <w14:textFill>
                        <w14:solidFill>
                          <w14:schemeClr w14:val="tx1"/>
                        </w14:solidFill>
                      </w14:textFill>
                    </w:rPr>
                    <w:t>；流经项目区域内的河流为</w:t>
                  </w:r>
                  <w:r>
                    <w:rPr>
                      <w:rFonts w:hint="eastAsia" w:ascii="Times New Roman" w:hAnsi="Times New Roman" w:cs="Times New Roman"/>
                      <w:color w:val="000000" w:themeColor="text1"/>
                      <w:szCs w:val="21"/>
                      <w:highlight w:val="none"/>
                      <w:lang w:val="en-US" w:eastAsia="zh-CN"/>
                      <w14:textFill>
                        <w14:solidFill>
                          <w14:schemeClr w14:val="tx1"/>
                        </w14:solidFill>
                      </w14:textFill>
                    </w:rPr>
                    <w:t>伊逊</w:t>
                  </w:r>
                  <w:r>
                    <w:rPr>
                      <w:rFonts w:hint="eastAsia" w:ascii="Times New Roman" w:hAnsi="Times New Roman" w:cs="Times New Roman"/>
                      <w:color w:val="000000" w:themeColor="text1"/>
                      <w:szCs w:val="21"/>
                      <w:highlight w:val="none"/>
                      <w14:textFill>
                        <w14:solidFill>
                          <w14:schemeClr w14:val="tx1"/>
                        </w14:solidFill>
                      </w14:textFill>
                    </w:rPr>
                    <w:t>河，</w:t>
                  </w:r>
                  <w:r>
                    <w:rPr>
                      <w:rFonts w:hint="eastAsia" w:ascii="Times New Roman" w:hAnsi="Times New Roman" w:cs="Times New Roman"/>
                      <w:color w:val="000000" w:themeColor="text1"/>
                      <w:szCs w:val="21"/>
                      <w:highlight w:val="none"/>
                      <w:lang w:val="en-US" w:eastAsia="zh-CN"/>
                      <w14:textFill>
                        <w14:solidFill>
                          <w14:schemeClr w14:val="tx1"/>
                        </w14:solidFill>
                      </w14:textFill>
                    </w:rPr>
                    <w:t>伊逊河流域总体水质状况为优，与2021年相比水环境质量有明显改善</w:t>
                  </w:r>
                  <w:r>
                    <w:rPr>
                      <w:rFonts w:hint="eastAsia" w:ascii="Times New Roman" w:hAnsi="Times New Roman" w:cs="Times New Roman"/>
                      <w:color w:val="000000" w:themeColor="text1"/>
                      <w:szCs w:val="21"/>
                      <w:highlight w:val="none"/>
                      <w14:textFill>
                        <w14:solidFill>
                          <w14:schemeClr w14:val="tx1"/>
                        </w14:solidFill>
                      </w14:textFill>
                    </w:rPr>
                    <w:t>，本项目无废水外排，</w:t>
                  </w:r>
                  <w:r>
                    <w:rPr>
                      <w:rFonts w:ascii="Times New Roman" w:hAnsi="Times New Roman" w:cs="Times New Roman"/>
                      <w:color w:val="000000" w:themeColor="text1"/>
                      <w:szCs w:val="21"/>
                      <w:highlight w:val="none"/>
                      <w14:textFill>
                        <w14:solidFill>
                          <w14:schemeClr w14:val="tx1"/>
                        </w14:solidFill>
                      </w14:textFill>
                    </w:rPr>
                    <w:t>不会突破项目所在地</w:t>
                  </w:r>
                  <w:r>
                    <w:rPr>
                      <w:rFonts w:hint="eastAsia" w:ascii="Times New Roman" w:hAnsi="Times New Roman" w:cs="Times New Roman"/>
                      <w:color w:val="000000" w:themeColor="text1"/>
                      <w:szCs w:val="21"/>
                      <w:highlight w:val="none"/>
                      <w14:textFill>
                        <w14:solidFill>
                          <w14:schemeClr w14:val="tx1"/>
                        </w14:solidFill>
                      </w14:textFill>
                    </w:rPr>
                    <w:t>地表水</w:t>
                  </w:r>
                  <w:r>
                    <w:rPr>
                      <w:rFonts w:ascii="Times New Roman" w:hAnsi="Times New Roman" w:cs="Times New Roman"/>
                      <w:color w:val="000000" w:themeColor="text1"/>
                      <w:szCs w:val="21"/>
                      <w:highlight w:val="none"/>
                      <w14:textFill>
                        <w14:solidFill>
                          <w14:schemeClr w14:val="tx1"/>
                        </w14:solidFill>
                      </w14:textFill>
                    </w:rPr>
                    <w:t>环境质量底线的要求</w:t>
                  </w:r>
                  <w:r>
                    <w:rPr>
                      <w:rFonts w:hint="eastAsia" w:ascii="Times New Roman" w:hAnsi="Times New Roman" w:cs="Times New Roman"/>
                      <w:color w:val="000000" w:themeColor="text1"/>
                      <w:szCs w:val="21"/>
                      <w:highlight w:val="none"/>
                      <w14:textFill>
                        <w14:solidFill>
                          <w14:schemeClr w14:val="tx1"/>
                        </w14:solidFill>
                      </w14:textFill>
                    </w:rPr>
                    <w:t>。项目</w:t>
                  </w:r>
                  <w:r>
                    <w:rPr>
                      <w:rFonts w:hint="eastAsia" w:ascii="Times New Roman" w:hAnsi="Times New Roman" w:cs="Times New Roman"/>
                      <w:color w:val="000000" w:themeColor="text1"/>
                      <w:szCs w:val="21"/>
                      <w:highlight w:val="none"/>
                      <w:lang w:val="en-US" w:eastAsia="zh-CN"/>
                      <w14:textFill>
                        <w14:solidFill>
                          <w14:schemeClr w14:val="tx1"/>
                        </w14:solidFill>
                      </w14:textFill>
                    </w:rPr>
                    <w:t>不新增危险废物</w:t>
                  </w:r>
                  <w:r>
                    <w:rPr>
                      <w:rFonts w:hint="eastAsia"/>
                      <w:color w:val="000000" w:themeColor="text1"/>
                      <w:szCs w:val="21"/>
                      <w:highlight w:val="none"/>
                      <w14:textFill>
                        <w14:solidFill>
                          <w14:schemeClr w14:val="tx1"/>
                        </w14:solidFill>
                      </w14:textFill>
                    </w:rPr>
                    <w:t>，不突破土壤及地下水环境质量底线的要求</w:t>
                  </w:r>
                </w:p>
              </w:tc>
              <w:tc>
                <w:tcPr>
                  <w:tcW w:w="807"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54"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资源利用上线</w:t>
                  </w:r>
                </w:p>
              </w:tc>
              <w:tc>
                <w:tcPr>
                  <w:tcW w:w="3303"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3495"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项</w:t>
                  </w:r>
                  <w:r>
                    <w:rPr>
                      <w:rFonts w:hint="eastAsia" w:ascii="Times New Roman" w:hAnsi="Times New Roman" w:eastAsia="宋体" w:cs="Times New Roman"/>
                      <w:color w:val="000000" w:themeColor="text1"/>
                      <w:szCs w:val="21"/>
                      <w:highlight w:val="none"/>
                      <w14:textFill>
                        <w14:solidFill>
                          <w14:schemeClr w14:val="tx1"/>
                        </w14:solidFill>
                      </w14:textFill>
                    </w:rPr>
                    <w:t>目生产无需用水，不新增劳动定员无生活用水增加；</w:t>
                  </w:r>
                  <w:r>
                    <w:rPr>
                      <w:rFonts w:ascii="Times New Roman" w:hAnsi="Times New Roman" w:eastAsia="宋体" w:cs="Times New Roman"/>
                      <w:color w:val="000000" w:themeColor="text1"/>
                      <w:szCs w:val="21"/>
                      <w:highlight w:val="none"/>
                      <w14:textFill>
                        <w14:solidFill>
                          <w14:schemeClr w14:val="tx1"/>
                        </w14:solidFill>
                      </w14:textFill>
                    </w:rPr>
                    <w:t>用电量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较少</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本项目所用燃料主要为生产废料</w:t>
                  </w: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且项目不新增占地，</w:t>
                  </w:r>
                  <w:r>
                    <w:rPr>
                      <w:rFonts w:ascii="Times New Roman" w:hAnsi="Times New Roman" w:eastAsia="宋体" w:cs="Times New Roman"/>
                      <w:color w:val="000000" w:themeColor="text1"/>
                      <w:szCs w:val="21"/>
                      <w:highlight w:val="none"/>
                      <w14:textFill>
                        <w14:solidFill>
                          <w14:schemeClr w14:val="tx1"/>
                        </w14:solidFill>
                      </w14:textFill>
                    </w:rPr>
                    <w:t>不会达到资源利用上限</w:t>
                  </w:r>
                </w:p>
              </w:tc>
              <w:tc>
                <w:tcPr>
                  <w:tcW w:w="807"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54"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负面清单</w:t>
                  </w:r>
                </w:p>
              </w:tc>
              <w:tc>
                <w:tcPr>
                  <w:tcW w:w="3303"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环境准入负面清单是基于生态保护红线、环境质量底线和资源利用上线，以清单方式列出的禁止、限制等差别化环境准入条件和要求。</w:t>
                  </w:r>
                </w:p>
              </w:tc>
              <w:tc>
                <w:tcPr>
                  <w:tcW w:w="3495" w:type="dxa"/>
                  <w:vAlign w:val="center"/>
                </w:tcPr>
                <w:p>
                  <w:pPr>
                    <w:pStyle w:val="5"/>
                    <w:jc w:val="center"/>
                    <w:rPr>
                      <w:rFonts w:hint="default"/>
                      <w:color w:val="000000" w:themeColor="text1"/>
                      <w:szCs w:val="21"/>
                      <w:highlight w:val="none"/>
                      <w:lang w:val="en-US"/>
                      <w14:textFill>
                        <w14:solidFill>
                          <w14:schemeClr w14:val="tx1"/>
                        </w14:solidFill>
                      </w14:textFill>
                    </w:rPr>
                  </w:pPr>
                  <w:r>
                    <w:rPr>
                      <w:color w:val="000000" w:themeColor="text1"/>
                      <w:szCs w:val="21"/>
                      <w:highlight w:val="none"/>
                      <w14:textFill>
                        <w14:solidFill>
                          <w14:schemeClr w14:val="tx1"/>
                        </w14:solidFill>
                      </w14:textFill>
                    </w:rPr>
                    <w:t>根据国家发展改革委商务部关于印发《市场准入负面清单（202</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年版）》</w:t>
                  </w:r>
                  <w:r>
                    <w:rPr>
                      <w:rFonts w:hint="eastAsia"/>
                      <w:color w:val="000000" w:themeColor="text1"/>
                      <w:szCs w:val="21"/>
                      <w:highlight w:val="none"/>
                      <w14:textFill>
                        <w14:solidFill>
                          <w14:schemeClr w14:val="tx1"/>
                        </w14:solidFill>
                      </w14:textFill>
                    </w:rPr>
                    <w:t>的通知，本</w:t>
                  </w:r>
                  <w:r>
                    <w:rPr>
                      <w:color w:val="000000" w:themeColor="text1"/>
                      <w:szCs w:val="21"/>
                      <w:highlight w:val="none"/>
                      <w14:textFill>
                        <w14:solidFill>
                          <w14:schemeClr w14:val="tx1"/>
                        </w14:solidFill>
                      </w14:textFill>
                    </w:rPr>
                    <w:t>项目</w:t>
                  </w:r>
                  <w:r>
                    <w:rPr>
                      <w:rFonts w:hint="eastAsia"/>
                      <w:color w:val="000000" w:themeColor="text1"/>
                      <w:szCs w:val="21"/>
                      <w:highlight w:val="none"/>
                      <w14:textFill>
                        <w14:solidFill>
                          <w14:schemeClr w14:val="tx1"/>
                        </w14:solidFill>
                      </w14:textFill>
                    </w:rPr>
                    <w:t>不属于禁止准入类；</w:t>
                  </w:r>
                  <w:r>
                    <w:rPr>
                      <w:color w:val="000000" w:themeColor="text1"/>
                      <w:szCs w:val="21"/>
                      <w:highlight w:val="none"/>
                      <w14:textFill>
                        <w14:solidFill>
                          <w14:schemeClr w14:val="tx1"/>
                        </w14:solidFill>
                      </w14:textFill>
                    </w:rPr>
                    <w:t>根据河北省发展和改革委员会关于印发《</w:t>
                  </w:r>
                  <w:r>
                    <w:rPr>
                      <w:rFonts w:hint="eastAsia"/>
                      <w:color w:val="000000" w:themeColor="text1"/>
                      <w:szCs w:val="21"/>
                      <w:highlight w:val="none"/>
                      <w:lang w:val="en-US" w:eastAsia="zh-CN"/>
                      <w14:textFill>
                        <w14:solidFill>
                          <w14:schemeClr w14:val="tx1"/>
                        </w14:solidFill>
                      </w14:textFill>
                    </w:rPr>
                    <w:t>康保县等坝上六县国家重点生态功能区产业准入负面清单(试行)</w:t>
                  </w:r>
                  <w:r>
                    <w:rPr>
                      <w:color w:val="000000" w:themeColor="text1"/>
                      <w:szCs w:val="21"/>
                      <w:highlight w:val="none"/>
                      <w14:textFill>
                        <w14:solidFill>
                          <w14:schemeClr w14:val="tx1"/>
                        </w14:solidFill>
                      </w14:textFill>
                    </w:rPr>
                    <w:t>》的通知（冀发改规划[201</w:t>
                  </w:r>
                  <w:r>
                    <w:rPr>
                      <w:rFonts w:hint="eastAsia"/>
                      <w:color w:val="000000" w:themeColor="text1"/>
                      <w:szCs w:val="21"/>
                      <w:highlight w:val="none"/>
                      <w:lang w:val="en-US" w:eastAsia="zh-CN"/>
                      <w14:textFill>
                        <w14:solidFill>
                          <w14:schemeClr w14:val="tx1"/>
                        </w14:solidFill>
                      </w14:textFill>
                    </w:rPr>
                    <w:t>7</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248</w:t>
                  </w:r>
                  <w:r>
                    <w:rPr>
                      <w:color w:val="000000" w:themeColor="text1"/>
                      <w:szCs w:val="21"/>
                      <w:highlight w:val="none"/>
                      <w14:textFill>
                        <w14:solidFill>
                          <w14:schemeClr w14:val="tx1"/>
                        </w14:solidFill>
                      </w14:textFill>
                    </w:rPr>
                    <w:t>号），本项目</w:t>
                  </w:r>
                  <w:r>
                    <w:rPr>
                      <w:rFonts w:hint="eastAsia"/>
                      <w:color w:val="000000" w:themeColor="text1"/>
                      <w:szCs w:val="21"/>
                      <w:highlight w:val="none"/>
                      <w:lang w:val="en-US" w:eastAsia="zh-CN"/>
                      <w14:textFill>
                        <w14:solidFill>
                          <w14:schemeClr w14:val="tx1"/>
                        </w14:solidFill>
                      </w14:textFill>
                    </w:rPr>
                    <w:t>为</w:t>
                  </w:r>
                  <w:r>
                    <w:rPr>
                      <w:rFonts w:hint="eastAsia"/>
                      <w:color w:val="000000" w:themeColor="text1"/>
                      <w:szCs w:val="21"/>
                      <w:highlight w:val="none"/>
                      <w14:textFill>
                        <w14:solidFill>
                          <w14:schemeClr w14:val="tx1"/>
                        </w14:solidFill>
                      </w14:textFill>
                    </w:rPr>
                    <w:t>热力生产和供应业，</w:t>
                  </w:r>
                  <w:r>
                    <w:rPr>
                      <w:rFonts w:hint="eastAsia"/>
                      <w:color w:val="000000" w:themeColor="text1"/>
                      <w:szCs w:val="21"/>
                      <w:highlight w:val="none"/>
                      <w:lang w:val="en-US" w:eastAsia="zh-CN"/>
                      <w14:textFill>
                        <w14:solidFill>
                          <w14:schemeClr w14:val="tx1"/>
                        </w14:solidFill>
                      </w14:textFill>
                    </w:rPr>
                    <w:t>在原有厂区进行建设，不新增占地，企业按要求采取相应措施后对生态环境影响较小，</w:t>
                  </w:r>
                  <w:r>
                    <w:rPr>
                      <w:rFonts w:hint="eastAsia"/>
                      <w:color w:val="000000" w:themeColor="text1"/>
                      <w:szCs w:val="21"/>
                      <w:highlight w:val="none"/>
                      <w14:textFill>
                        <w14:solidFill>
                          <w14:schemeClr w14:val="tx1"/>
                        </w14:solidFill>
                      </w14:textFill>
                    </w:rPr>
                    <w:t>满足</w:t>
                  </w:r>
                  <w:r>
                    <w:rPr>
                      <w:rFonts w:hint="eastAsia"/>
                      <w:color w:val="000000" w:themeColor="text1"/>
                      <w:szCs w:val="21"/>
                      <w:highlight w:val="none"/>
                      <w:lang w:val="en-US" w:eastAsia="zh-CN"/>
                      <w14:textFill>
                        <w14:solidFill>
                          <w14:schemeClr w14:val="tx1"/>
                        </w14:solidFill>
                      </w14:textFill>
                    </w:rPr>
                    <w:t>管控要求。</w:t>
                  </w:r>
                </w:p>
              </w:tc>
              <w:tc>
                <w:tcPr>
                  <w:tcW w:w="807" w:type="dxa"/>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符合</w:t>
                  </w:r>
                </w:p>
              </w:tc>
            </w:tr>
          </w:tbl>
          <w:p>
            <w:pPr>
              <w:spacing w:line="360" w:lineRule="auto"/>
              <w:ind w:firstLine="480" w:firstLineChars="20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w:t>
            </w:r>
            <w:r>
              <w:rPr>
                <w:rFonts w:ascii="Times New Roman" w:hAnsi="Times New Roman" w:cs="Times New Roman"/>
                <w:color w:val="000000" w:themeColor="text1"/>
                <w:sz w:val="24"/>
                <w:highlight w:val="none"/>
                <w14:textFill>
                  <w14:solidFill>
                    <w14:schemeClr w14:val="tx1"/>
                  </w14:solidFill>
                </w14:textFill>
              </w:rPr>
              <w:t>项目位于</w:t>
            </w:r>
            <w:r>
              <w:rPr>
                <w:rFonts w:hint="eastAsia" w:ascii="Times New Roman" w:hAnsi="Times New Roman" w:cs="Times New Roman"/>
                <w:color w:val="000000" w:themeColor="text1"/>
                <w:sz w:val="24"/>
                <w:highlight w:val="none"/>
                <w:lang w:eastAsia="zh-CN"/>
                <w14:textFill>
                  <w14:solidFill>
                    <w14:schemeClr w14:val="tx1"/>
                  </w14:solidFill>
                </w14:textFill>
              </w:rPr>
              <w:t>河北省承德市围场满族蒙</w:t>
            </w:r>
            <w:r>
              <w:rPr>
                <w:rFonts w:hint="eastAsia" w:ascii="Times New Roman" w:hAnsi="Times New Roman" w:cs="Times New Roman"/>
                <w:color w:val="000000" w:themeColor="text1"/>
                <w:sz w:val="24"/>
                <w:highlight w:val="none"/>
                <w:lang w:val="en-US" w:eastAsia="zh-CN"/>
                <w14:textFill>
                  <w14:solidFill>
                    <w14:schemeClr w14:val="tx1"/>
                  </w14:solidFill>
                </w14:textFill>
              </w:rPr>
              <w:t>古族自治县</w:t>
            </w:r>
            <w:r>
              <w:rPr>
                <w:rFonts w:hint="eastAsia" w:ascii="Times New Roman" w:hAnsi="Times New Roman" w:cs="Times New Roman"/>
                <w:color w:val="000000" w:themeColor="text1"/>
                <w:sz w:val="24"/>
                <w:highlight w:val="none"/>
                <w:lang w:eastAsia="zh-CN"/>
                <w14:textFill>
                  <w14:solidFill>
                    <w14:schemeClr w14:val="tx1"/>
                  </w14:solidFill>
                </w14:textFill>
              </w:rPr>
              <w:t>经济开发区（围场镇金字村3组23号）承德森禧木业有限公司</w:t>
            </w:r>
            <w:r>
              <w:rPr>
                <w:rFonts w:ascii="Times New Roman" w:hAnsi="Times New Roman" w:cs="Times New Roman"/>
                <w:color w:val="000000" w:themeColor="text1"/>
                <w:sz w:val="24"/>
                <w:highlight w:val="none"/>
                <w14:textFill>
                  <w14:solidFill>
                    <w14:schemeClr w14:val="tx1"/>
                  </w14:solidFill>
                </w14:textFill>
              </w:rPr>
              <w:t>厂区内，地理坐标为：E117°</w:t>
            </w:r>
            <w:r>
              <w:rPr>
                <w:rFonts w:hint="eastAsia" w:ascii="Times New Roman" w:hAnsi="Times New Roman" w:cs="Times New Roman"/>
                <w:color w:val="000000" w:themeColor="text1"/>
                <w:sz w:val="24"/>
                <w:highlight w:val="none"/>
                <w:lang w:val="en-US" w:eastAsia="zh-CN"/>
                <w14:textFill>
                  <w14:solidFill>
                    <w14:schemeClr w14:val="tx1"/>
                  </w14:solidFill>
                </w14:textFill>
              </w:rPr>
              <w:t>42</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37.626</w:t>
            </w:r>
            <w:r>
              <w:rPr>
                <w:rFonts w:ascii="Times New Roman" w:hAnsi="Times New Roman" w:cs="Times New Roman"/>
                <w:color w:val="000000" w:themeColor="text1"/>
                <w:sz w:val="24"/>
                <w:highlight w:val="none"/>
                <w14:textFill>
                  <w14:solidFill>
                    <w14:schemeClr w14:val="tx1"/>
                  </w14:solidFill>
                </w14:textFill>
              </w:rPr>
              <w:t>″，N41°</w:t>
            </w:r>
            <w:r>
              <w:rPr>
                <w:rFonts w:hint="eastAsia" w:ascii="Times New Roman" w:hAnsi="Times New Roman" w:cs="Times New Roman"/>
                <w:color w:val="000000" w:themeColor="text1"/>
                <w:sz w:val="24"/>
                <w:highlight w:val="none"/>
                <w:lang w:val="en-US" w:eastAsia="zh-CN"/>
                <w14:textFill>
                  <w14:solidFill>
                    <w14:schemeClr w14:val="tx1"/>
                  </w14:solidFill>
                </w14:textFill>
              </w:rPr>
              <w:t>59</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2.920</w:t>
            </w:r>
            <w:r>
              <w:rPr>
                <w:rFonts w:ascii="Times New Roman" w:hAnsi="Times New Roman" w:cs="Times New Roman"/>
                <w:color w:val="000000" w:themeColor="text1"/>
                <w:sz w:val="24"/>
                <w:highlight w:val="none"/>
                <w14:textFill>
                  <w14:solidFill>
                    <w14:schemeClr w14:val="tx1"/>
                  </w14:solidFill>
                </w14:textFill>
              </w:rPr>
              <w:t>″，根据《承德市人民政府关于加快实施“三线一单”生态环境分区管控的意见》的附件《承德市“三线一单”生态环境准入清单》可知，项目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所在地</w:t>
            </w:r>
            <w:r>
              <w:rPr>
                <w:rFonts w:ascii="Times New Roman" w:hAnsi="Times New Roman" w:cs="Times New Roman"/>
                <w:color w:val="000000" w:themeColor="text1"/>
                <w:sz w:val="24"/>
                <w:highlight w:val="none"/>
                <w14:textFill>
                  <w14:solidFill>
                    <w14:schemeClr w14:val="tx1"/>
                  </w14:solidFill>
                </w14:textFill>
              </w:rPr>
              <w:t>编号：ZH13082</w:t>
            </w:r>
            <w:r>
              <w:rPr>
                <w:rFonts w:hint="eastAsia" w:ascii="Times New Roman" w:hAnsi="Times New Roman" w:cs="Times New Roman"/>
                <w:color w:val="000000" w:themeColor="text1"/>
                <w:sz w:val="24"/>
                <w:highlight w:val="none"/>
                <w:lang w:val="en-US" w:eastAsia="zh-CN"/>
                <w14:textFill>
                  <w14:solidFill>
                    <w14:schemeClr w14:val="tx1"/>
                  </w14:solidFill>
                </w14:textFill>
              </w:rPr>
              <w:t>8</w:t>
            </w:r>
            <w:r>
              <w:rPr>
                <w:rFonts w:ascii="Times New Roman" w:hAnsi="Times New Roman" w:cs="Times New Roman"/>
                <w:color w:val="000000" w:themeColor="text1"/>
                <w:sz w:val="24"/>
                <w:highlight w:val="none"/>
                <w14:textFill>
                  <w14:solidFill>
                    <w14:schemeClr w14:val="tx1"/>
                  </w14:solidFill>
                </w14:textFill>
              </w:rPr>
              <w:t>2000</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ascii="Times New Roman" w:hAnsi="Times New Roman" w:cs="Times New Roman"/>
                <w:color w:val="000000" w:themeColor="text1"/>
                <w:sz w:val="24"/>
                <w:highlight w:val="none"/>
                <w14:textFill>
                  <w14:solidFill>
                    <w14:schemeClr w14:val="tx1"/>
                  </w14:solidFill>
                </w14:textFill>
              </w:rPr>
              <w:t>ZH13082</w:t>
            </w:r>
            <w:r>
              <w:rPr>
                <w:rFonts w:hint="eastAsia" w:ascii="Times New Roman" w:hAnsi="Times New Roman" w:cs="Times New Roman"/>
                <w:color w:val="000000" w:themeColor="text1"/>
                <w:sz w:val="24"/>
                <w:highlight w:val="none"/>
                <w:lang w:val="en-US" w:eastAsia="zh-CN"/>
                <w14:textFill>
                  <w14:solidFill>
                    <w14:schemeClr w14:val="tx1"/>
                  </w14:solidFill>
                </w14:textFill>
              </w:rPr>
              <w:t>8</w:t>
            </w:r>
            <w:r>
              <w:rPr>
                <w:rFonts w:ascii="Times New Roman" w:hAnsi="Times New Roman" w:cs="Times New Roman"/>
                <w:color w:val="000000" w:themeColor="text1"/>
                <w:sz w:val="24"/>
                <w:highlight w:val="none"/>
                <w14:textFill>
                  <w14:solidFill>
                    <w14:schemeClr w14:val="tx1"/>
                  </w14:solidFill>
                </w14:textFill>
              </w:rPr>
              <w:t>2000</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，项目环境管控单元准入清单符合性分析，判定内容如下表所示：</w:t>
            </w:r>
          </w:p>
          <w:p>
            <w:pPr>
              <w:pStyle w:val="45"/>
              <w:numPr>
                <w:ilvl w:val="0"/>
                <w:numId w:val="4"/>
              </w:numPr>
              <w:spacing w:line="240" w:lineRule="auto"/>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项目环境管控单元准入清单符合性分析表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659"/>
              <w:gridCol w:w="915"/>
              <w:gridCol w:w="735"/>
              <w:gridCol w:w="2955"/>
              <w:gridCol w:w="1845"/>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编号</w:t>
                  </w:r>
                </w:p>
              </w:tc>
              <w:tc>
                <w:tcPr>
                  <w:tcW w:w="400" w:type="pct"/>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管控类别</w:t>
                  </w:r>
                </w:p>
              </w:tc>
              <w:tc>
                <w:tcPr>
                  <w:tcW w:w="555" w:type="pct"/>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环境要素类别</w:t>
                  </w:r>
                </w:p>
              </w:tc>
              <w:tc>
                <w:tcPr>
                  <w:tcW w:w="446" w:type="pct"/>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维度</w:t>
                  </w:r>
                </w:p>
              </w:tc>
              <w:tc>
                <w:tcPr>
                  <w:tcW w:w="1795" w:type="pct"/>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管控措施</w:t>
                  </w:r>
                </w:p>
              </w:tc>
              <w:tc>
                <w:tcPr>
                  <w:tcW w:w="1120" w:type="pct"/>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项目情况</w:t>
                  </w:r>
                </w:p>
              </w:tc>
              <w:tc>
                <w:tcPr>
                  <w:tcW w:w="400" w:type="pct"/>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280" w:type="pct"/>
                  <w:vMerge w:val="restart"/>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ZH1308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w:t>
                  </w:r>
                  <w:r>
                    <w:rPr>
                      <w:rFonts w:hint="default" w:ascii="Times New Roman" w:hAnsi="Times New Roman" w:eastAsia="宋体" w:cs="Times New Roman"/>
                      <w:color w:val="000000" w:themeColor="text1"/>
                      <w:sz w:val="21"/>
                      <w:szCs w:val="21"/>
                      <w:highlight w:val="none"/>
                      <w14:textFill>
                        <w14:solidFill>
                          <w14:schemeClr w14:val="tx1"/>
                        </w14:solidFill>
                      </w14:textFill>
                    </w:rPr>
                    <w:t>2000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00" w:type="pct"/>
                  <w:vMerge w:val="restar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重点管控单元</w:t>
                  </w:r>
                </w:p>
              </w:tc>
              <w:tc>
                <w:tcPr>
                  <w:tcW w:w="555" w:type="pct"/>
                  <w:vMerge w:val="restart"/>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大气环境高排放重点管控区、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河北围场经济开发区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（北方现代物流园、东山文化产业园）、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水环境工业重点管控区</w:t>
                  </w:r>
                </w:p>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1795" w:type="pct"/>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 园区距离围场满</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族</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蒙</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古族</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自治县城区较近，新建项目应加强对城区生态环境影响的论证。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2. 严格落实规划环评及其批复文件制定的环境准入条件。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3. 原则上对于不符合园区定位的行业不得入园。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4. 废水含难降解的有机污染物、“三致”污染物项目禁止入园。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 禁止建设生产和使用高VOCs 含量的溶剂型涂料、油墨、胶粘剂等项目。</w:t>
                  </w:r>
                </w:p>
              </w:tc>
              <w:tc>
                <w:tcPr>
                  <w:tcW w:w="1120" w:type="pct"/>
                  <w:vAlign w:val="center"/>
                </w:tcPr>
                <w:p>
                  <w:pPr>
                    <w:pStyle w:val="5"/>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ascii="Times New Roman" w:hAnsi="Times New Roman" w:cs="Times New Roman"/>
                      <w:color w:val="000000" w:themeColor="text1"/>
                      <w:szCs w:val="21"/>
                      <w:highlight w:val="none"/>
                      <w14:textFill>
                        <w14:solidFill>
                          <w14:schemeClr w14:val="tx1"/>
                        </w14:solidFill>
                      </w14:textFill>
                    </w:rPr>
                    <w:t>本项目排放的各项污染物均采取有效措施，废气可达标排放，无废水外排，固体废物按相关要求妥善处置</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项目的建设对城区生态环境影响较小</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adjustRightInd w:val="0"/>
                    <w:snapToGrid w:val="0"/>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项目建设符合规划环评及其批复文件的相关要求</w:t>
                  </w:r>
                </w:p>
                <w:p>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3.本项目为热力生产和供应业，符合园区定位要求；</w:t>
                  </w:r>
                </w:p>
                <w:p>
                  <w:pPr>
                    <w:adjustRightInd w:val="0"/>
                    <w:snapToGrid w:val="0"/>
                    <w:jc w:val="lef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4.不涉及</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5.不涉及</w:t>
                  </w:r>
                </w:p>
              </w:tc>
              <w:tc>
                <w:tcPr>
                  <w:tcW w:w="400"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5"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1795" w:type="pct"/>
                  <w:vAlign w:val="center"/>
                </w:tcPr>
                <w:p>
                  <w:pPr>
                    <w:widowControl/>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6. PM2.5年均浓度达标之前，氮氧化物、烟粉尘、挥发性有机物污染物需进行倍量削减替代。 </w:t>
                  </w:r>
                </w:p>
                <w:p>
                  <w:pPr>
                    <w:widowControl/>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 严格落实规划环评及其批复文件制定的环保措施。</w:t>
                  </w:r>
                </w:p>
                <w:p>
                  <w:pPr>
                    <w:widowControl/>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 加强医疗废物污染控制，医疗废物处理处置设施的选址、运行、监测和废物接收、贮存及处理处置过程的生态环境保护要求应满足《医疗危险废物处置污染控制标准》（GB39707-2020）要求。 </w:t>
                  </w:r>
                </w:p>
                <w:p>
                  <w:pPr>
                    <w:widowControl/>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 新建食品加工制造业企业水污染物的排放控制要求应符合《食品加工制造业水污染物排放标准》</w:t>
                  </w:r>
                </w:p>
              </w:tc>
              <w:tc>
                <w:tcPr>
                  <w:tcW w:w="1120" w:type="pct"/>
                  <w:vAlign w:val="center"/>
                </w:tcPr>
                <w:p>
                  <w:pPr>
                    <w:adjustRightInd w:val="0"/>
                    <w:snapToGrid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本项目位于环境质量达标区</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本项目排放的各项污染物均采取有效措施，废气可达标排放，无废水外排，固体废物按相关要求妥善处置</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经规划环评及批复文件符合性分析，项目的建设满足规划环评及批复相关要求</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.不涉及；</w:t>
                  </w:r>
                </w:p>
                <w:p>
                  <w:pPr>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14:textFill>
                        <w14:solidFill>
                          <w14:schemeClr w14:val="tx1"/>
                        </w14:solidFill>
                      </w14:textFill>
                    </w:rPr>
                    <w:t>.不涉及；</w:t>
                  </w:r>
                </w:p>
              </w:tc>
              <w:tc>
                <w:tcPr>
                  <w:tcW w:w="400"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5"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1795" w:type="pct"/>
                  <w:vAlign w:val="center"/>
                </w:tcPr>
                <w:p>
                  <w:pPr>
                    <w:widowControl/>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10. 严格落实规划环评及其批复文件制定的环境风险防范措施。 </w:t>
                  </w:r>
                </w:p>
                <w:p>
                  <w:pPr>
                    <w:widowControl/>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 防止废水直接排入伊逊河。</w:t>
                  </w:r>
                </w:p>
              </w:tc>
              <w:tc>
                <w:tcPr>
                  <w:tcW w:w="1120" w:type="pct"/>
                  <w:vAlign w:val="center"/>
                </w:tcPr>
                <w:p>
                  <w:pPr>
                    <w:adjustRightInd w:val="0"/>
                    <w:snapToGrid w:val="0"/>
                    <w:jc w:val="left"/>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本项目排放的各项污染物均采取有效措施，废气可达标排放，无废水外排，固体废物按相关要求妥善处置，厂区已制定环境风险应急预案并经环保部门备案</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划环评及其批复文件制定的环境风险防范措施</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要求</w:t>
                  </w:r>
                  <w:r>
                    <w:rPr>
                      <w:rFonts w:hint="eastAsia" w:ascii="Times New Roman" w:hAnsi="Times New Roman" w:cs="Times New Roman"/>
                      <w:color w:val="000000" w:themeColor="text1"/>
                      <w:szCs w:val="21"/>
                      <w:highlight w:val="none"/>
                      <w:lang w:eastAsia="zh-CN"/>
                      <w14:textFill>
                        <w14:solidFill>
                          <w14:schemeClr w14:val="tx1"/>
                        </w14:solidFill>
                      </w14:textFill>
                    </w:rPr>
                    <w:t>；</w:t>
                  </w:r>
                </w:p>
                <w:p>
                  <w:pPr>
                    <w:adjustRightInd w:val="0"/>
                    <w:snapToGrid w:val="0"/>
                    <w:jc w:val="left"/>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11.本项目无废水外排</w:t>
                  </w:r>
                </w:p>
              </w:tc>
              <w:tc>
                <w:tcPr>
                  <w:tcW w:w="400"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5"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资源利用效率</w:t>
                  </w:r>
                </w:p>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95" w:type="pct"/>
                  <w:vAlign w:val="center"/>
                </w:tcPr>
                <w:p>
                  <w:pPr>
                    <w:widowControl/>
                    <w:jc w:val="left"/>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12. 减少新鲜水用量，提高中水回用率。 </w:t>
                  </w:r>
                </w:p>
                <w:p>
                  <w:pPr>
                    <w:widowControl/>
                    <w:jc w:val="left"/>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13. 新建项目清洁生产应不低于</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国</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内一般水平，新建产业园区应按生态工业园区标准进行规划建设。</w:t>
                  </w:r>
                </w:p>
              </w:tc>
              <w:tc>
                <w:tcPr>
                  <w:tcW w:w="1120" w:type="pct"/>
                  <w:vAlign w:val="center"/>
                </w:tcPr>
                <w:p>
                  <w:pPr>
                    <w:adjustRightInd w:val="0"/>
                    <w:snapToGrid w:val="0"/>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12.本项目不新增生产生活用水；</w:t>
                  </w:r>
                </w:p>
                <w:p>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13.不涉及</w:t>
                  </w:r>
                </w:p>
              </w:tc>
              <w:tc>
                <w:tcPr>
                  <w:tcW w:w="400"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restart"/>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ZH1308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w:t>
                  </w:r>
                  <w:r>
                    <w:rPr>
                      <w:rFonts w:hint="default" w:ascii="Times New Roman" w:hAnsi="Times New Roman" w:eastAsia="宋体" w:cs="Times New Roman"/>
                      <w:color w:val="000000" w:themeColor="text1"/>
                      <w:sz w:val="21"/>
                      <w:szCs w:val="21"/>
                      <w:highlight w:val="none"/>
                      <w14:textFill>
                        <w14:solidFill>
                          <w14:schemeClr w14:val="tx1"/>
                        </w14:solidFill>
                      </w14:textFill>
                    </w:rPr>
                    <w:t>2000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400" w:type="pct"/>
                  <w:vMerge w:val="restar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重点管控单元</w:t>
                  </w:r>
                </w:p>
              </w:tc>
              <w:tc>
                <w:tcPr>
                  <w:tcW w:w="555" w:type="pct"/>
                  <w:vMerge w:val="restart"/>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涉及部分生态保护红线、大气环境受体敏感重点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管控区、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水环境城镇生活重点管控区、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土地资源重点管控区、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城市开发边界</w:t>
                  </w:r>
                </w:p>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1795" w:type="pct"/>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1. 生态保护红线区执行承德市总体准入清单中生态保护红线准入要求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2. 限制新建工业项目（重大基础设施、生态保护与环境治理、民生保障类项目除外）引导工业企业向产业园区发展。 </w:t>
                  </w:r>
                </w:p>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3. 畜禽养殖严格执行禁养区、限养区规定。新建、改扩建规模畜禽养殖场应配备粪污处理设施，实现达标排放；现有散、小规模养殖场（户）应逐步实现退养或标准化改造。 </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 非经国务院授权的有关主管部门同意，不得在城镇开发边界内新批固体矿产资源开发项目。</w:t>
                  </w:r>
                </w:p>
              </w:tc>
              <w:tc>
                <w:tcPr>
                  <w:tcW w:w="1120" w:type="pct"/>
                  <w:vAlign w:val="center"/>
                </w:tcPr>
                <w:p>
                  <w:pPr>
                    <w:numPr>
                      <w:ilvl w:val="0"/>
                      <w:numId w:val="0"/>
                    </w:numPr>
                    <w:adjustRightInd w:val="0"/>
                    <w:snapToGrid w:val="0"/>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1.本项目距离生态保护红线最近距离45m，不在生态保护红线范围内；</w:t>
                  </w:r>
                </w:p>
                <w:p>
                  <w:pPr>
                    <w:numPr>
                      <w:ilvl w:val="0"/>
                      <w:numId w:val="0"/>
                    </w:num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2.本项目不属于新建项目；</w:t>
                  </w:r>
                </w:p>
                <w:p>
                  <w:pPr>
                    <w:numPr>
                      <w:ilvl w:val="0"/>
                      <w:numId w:val="0"/>
                    </w:num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3.不涉及；</w:t>
                  </w:r>
                </w:p>
                <w:p>
                  <w:pPr>
                    <w:numPr>
                      <w:ilvl w:val="0"/>
                      <w:numId w:val="0"/>
                    </w:num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4.不涉及；</w:t>
                  </w:r>
                </w:p>
              </w:tc>
              <w:tc>
                <w:tcPr>
                  <w:tcW w:w="400"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5"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1795" w:type="pct"/>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5. 新建锅炉应执行《锅炉大气污染物排放标准》（DB13/5161-2020），现有锅炉应在规定时间内完成升级改造。 </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 污水收集管网覆盖范围内除相关法律法规和标准规定必须单独设置排污口的情况外应全部纳入污水管网集中处理，现有的入河排污口应限期纳入污水管网。</w:t>
                  </w:r>
                </w:p>
              </w:tc>
              <w:tc>
                <w:tcPr>
                  <w:tcW w:w="1120" w:type="pct"/>
                  <w:vAlign w:val="center"/>
                </w:tcPr>
                <w:p>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5.本项目不涉及新建锅炉，现有锅炉已安装SNCR脱硝设备，满足污染物排放管控要求；</w:t>
                  </w:r>
                </w:p>
                <w:p>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6.本项目无废水外排；</w:t>
                  </w:r>
                </w:p>
              </w:tc>
              <w:tc>
                <w:tcPr>
                  <w:tcW w:w="400"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5"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1795" w:type="pct"/>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7. 限制建设排放《有毒有害水污染物名录》、《有毒有害气体大气污染物名录》中所列有毒有害污染物的项目。 </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 限制建设《环境保护综合名录》中“高污染、高环境风险”产品与工艺装备。</w:t>
                  </w:r>
                </w:p>
              </w:tc>
              <w:tc>
                <w:tcPr>
                  <w:tcW w:w="1120" w:type="pct"/>
                  <w:vAlign w:val="center"/>
                </w:tcPr>
                <w:p>
                  <w:pPr>
                    <w:adjustRightInd w:val="0"/>
                    <w:snapToGrid w:val="0"/>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7.不涉及；</w:t>
                  </w:r>
                </w:p>
                <w:p>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8.不涉及；</w:t>
                  </w:r>
                </w:p>
              </w:tc>
              <w:tc>
                <w:tcPr>
                  <w:tcW w:w="400"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0"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5" w:type="pct"/>
                  <w:vMerge w:val="continue"/>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资源利用效率</w:t>
                  </w:r>
                </w:p>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95" w:type="pct"/>
                  <w:vAlign w:val="center"/>
                </w:tcPr>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 集中供热管网覆盖范围内的散煤应逐步淘汰。</w:t>
                  </w:r>
                </w:p>
              </w:tc>
              <w:tc>
                <w:tcPr>
                  <w:tcW w:w="1120" w:type="pct"/>
                  <w:vAlign w:val="center"/>
                </w:tcPr>
                <w:p>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9.不涉及；</w:t>
                  </w:r>
                </w:p>
              </w:tc>
              <w:tc>
                <w:tcPr>
                  <w:tcW w:w="400" w:type="pct"/>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pPr>
              <w:adjustRightInd w:val="0"/>
              <w:snapToGrid w:val="0"/>
              <w:spacing w:before="156" w:beforeLines="50" w:line="360" w:lineRule="auto"/>
              <w:jc w:val="center"/>
              <w:rPr>
                <w:rFonts w:ascii="Times New Roman" w:hAnsi="Times New Roman" w:eastAsia="宋体" w:cs="Times New Roman"/>
                <w:b/>
                <w:bCs/>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29860" cy="3700780"/>
                  <wp:effectExtent l="0" t="0" r="8890"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229860" cy="3700780"/>
                          </a:xfrm>
                          <a:prstGeom prst="rect">
                            <a:avLst/>
                          </a:prstGeom>
                          <a:noFill/>
                          <a:ln>
                            <a:noFill/>
                          </a:ln>
                        </pic:spPr>
                      </pic:pic>
                    </a:graphicData>
                  </a:graphic>
                </wp:inline>
              </w:drawing>
            </w:r>
          </w:p>
          <w:p>
            <w:pPr>
              <w:pStyle w:val="47"/>
              <w:numPr>
                <w:ilvl w:val="0"/>
                <w:numId w:val="5"/>
              </w:numPr>
              <w:autoSpaceDE w:val="0"/>
              <w:autoSpaceDN w:val="0"/>
              <w:adjustRightInd w:val="0"/>
              <w:snapToGrid w:val="0"/>
              <w:spacing w:line="360" w:lineRule="auto"/>
              <w:ind w:left="0" w:firstLine="0" w:firstLineChars="0"/>
              <w:jc w:val="center"/>
              <w:rPr>
                <w:rFonts w:ascii="Times New Roman" w:hAnsi="Times New Roman" w:eastAsia="宋体"/>
                <w:color w:val="000000" w:themeColor="text1"/>
                <w:szCs w:val="22"/>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项目位置与</w:t>
            </w:r>
            <w:r>
              <w:rPr>
                <w:rFonts w:ascii="Times New Roman" w:hAnsi="Times New Roman" w:eastAsia="宋体"/>
                <w:b/>
                <w:color w:val="000000" w:themeColor="text1"/>
                <w:szCs w:val="21"/>
                <w:highlight w:val="none"/>
                <w14:textFill>
                  <w14:solidFill>
                    <w14:schemeClr w14:val="tx1"/>
                  </w14:solidFill>
                </w14:textFill>
              </w:rPr>
              <w:t>承德市</w:t>
            </w:r>
            <w:r>
              <w:rPr>
                <w:rFonts w:hint="eastAsia" w:ascii="Times New Roman" w:hAnsi="Times New Roman" w:eastAsia="宋体"/>
                <w:b/>
                <w:color w:val="000000" w:themeColor="text1"/>
                <w:szCs w:val="21"/>
                <w:highlight w:val="none"/>
                <w14:textFill>
                  <w14:solidFill>
                    <w14:schemeClr w14:val="tx1"/>
                  </w14:solidFill>
                </w14:textFill>
              </w:rPr>
              <w:t>环境管控单元图位置关系示意图</w:t>
            </w:r>
          </w:p>
          <w:p>
            <w:pPr>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由上表及图可知，项目符合《关于以改善环境质量为核心加强环境影响评价管理的通知》（环环评[2016]150号）、《承德市人民政府关于加快实施“三线一单”生态环境分区管控的意见》（承德市人民政府2021年6月18发布）的环境管理要求。</w:t>
            </w:r>
          </w:p>
          <w:p>
            <w:pPr>
              <w:snapToGrid w:val="0"/>
              <w:spacing w:line="360" w:lineRule="auto"/>
              <w:ind w:firstLine="480"/>
              <w:rPr>
                <w:rFonts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3、《承德市城市总体规划》（2016-2030年）</w:t>
            </w:r>
          </w:p>
          <w:p>
            <w:pPr>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承德市</w:t>
            </w:r>
            <w:r>
              <w:rPr>
                <w:rFonts w:hint="eastAsia" w:ascii="Times New Roman" w:hAnsi="Times New Roman"/>
                <w:color w:val="000000" w:themeColor="text1"/>
                <w:sz w:val="24"/>
                <w:highlight w:val="none"/>
                <w14:textFill>
                  <w14:solidFill>
                    <w14:schemeClr w14:val="tx1"/>
                  </w14:solidFill>
                </w14:textFill>
              </w:rPr>
              <w:t>城市总体规划中环境</w:t>
            </w:r>
            <w:r>
              <w:rPr>
                <w:rFonts w:ascii="Times New Roman" w:hAnsi="Times New Roman"/>
                <w:color w:val="000000" w:themeColor="text1"/>
                <w:sz w:val="24"/>
                <w:highlight w:val="none"/>
                <w14:textFill>
                  <w14:solidFill>
                    <w14:schemeClr w14:val="tx1"/>
                  </w14:solidFill>
                </w14:textFill>
              </w:rPr>
              <w:t>功能区如下图所示：</w:t>
            </w:r>
          </w:p>
          <w:p>
            <w:pPr>
              <w:snapToGrid w:val="0"/>
              <w:jc w:val="center"/>
              <w:rPr>
                <w:rFonts w:ascii="Times New Roman" w:hAnsi="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803275</wp:posOffset>
                      </wp:positionH>
                      <wp:positionV relativeFrom="paragraph">
                        <wp:posOffset>1126490</wp:posOffset>
                      </wp:positionV>
                      <wp:extent cx="915035" cy="297180"/>
                      <wp:effectExtent l="4445" t="5080" r="1118870" b="554990"/>
                      <wp:wrapNone/>
                      <wp:docPr id="9" name="文本框 9"/>
                      <wp:cNvGraphicFramePr/>
                      <a:graphic xmlns:a="http://schemas.openxmlformats.org/drawingml/2006/main">
                        <a:graphicData uri="http://schemas.microsoft.com/office/word/2010/wordprocessingShape">
                          <wps:wsp>
                            <wps:cNvSpPr txBox="1"/>
                            <wps:spPr>
                              <a:xfrm>
                                <a:off x="2575560" y="5234940"/>
                                <a:ext cx="915035" cy="297180"/>
                              </a:xfrm>
                              <a:prstGeom prst="wedgeRectCallout">
                                <a:avLst>
                                  <a:gd name="adj1" fmla="val 170333"/>
                                  <a:gd name="adj2" fmla="val 232478"/>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sz w:val="21"/>
                                      <w:szCs w:val="21"/>
                                    </w:rPr>
                                    <w:t>项目所在</w:t>
                                  </w:r>
                                  <w:r>
                                    <w:rPr>
                                      <w:rFonts w:hint="eastAsia"/>
                                    </w:rPr>
                                    <w:t>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61" type="#_x0000_t61" style="position:absolute;left:0pt;margin-left:63.25pt;margin-top:88.7pt;height:23.4pt;width:72.05pt;z-index:251661312;mso-width-relative:page;mso-height-relative:page;" fillcolor="#FFFFFF [3201]" filled="t" stroked="t" coordsize="21600,21600" o:gfxdata="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K1mMK&#10;2QAAAAsBAAAPAAAAAAAAAAEAIAAAACIAAABkcnMvZG93bnJldi54bWxQSwECFAAUAAAACACHTuJA&#10;QKOCoJICAAAhBQAADgAAAAAAAAABACAAAAAoAQAAZHJzL2Uyb0RvYy54bWxQSwUGAAAAAAYABgBZ&#10;AQAALAYAAAAA&#10;" adj="47592,61015">
                      <v:fill on="t" focussize="0,0"/>
                      <v:stroke weight="0.5pt" color="#000000 [3204]" joinstyle="round"/>
                      <v:imagedata o:title=""/>
                      <o:lock v:ext="edit" aspectratio="f"/>
                      <v:textbox>
                        <w:txbxContent>
                          <w:p>
                            <w:r>
                              <w:rPr>
                                <w:rFonts w:hint="eastAsia"/>
                                <w:sz w:val="21"/>
                                <w:szCs w:val="21"/>
                              </w:rPr>
                              <w:t>项目所在</w:t>
                            </w:r>
                            <w:r>
                              <w:rPr>
                                <w:rFonts w:hint="eastAsia"/>
                              </w:rPr>
                              <w:t>地</w:t>
                            </w:r>
                          </w:p>
                        </w:txbxContent>
                      </v:textbox>
                    </v:shape>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2721610</wp:posOffset>
                      </wp:positionH>
                      <wp:positionV relativeFrom="paragraph">
                        <wp:posOffset>1864360</wp:posOffset>
                      </wp:positionV>
                      <wp:extent cx="146685" cy="161925"/>
                      <wp:effectExtent l="17145" t="23495" r="26670" b="24130"/>
                      <wp:wrapNone/>
                      <wp:docPr id="2" name="五角星 448"/>
                      <wp:cNvGraphicFramePr/>
                      <a:graphic xmlns:a="http://schemas.openxmlformats.org/drawingml/2006/main">
                        <a:graphicData uri="http://schemas.microsoft.com/office/word/2010/wordprocessingShape">
                          <wps:wsp>
                            <wps:cNvSpPr/>
                            <wps:spPr>
                              <a:xfrm>
                                <a:off x="0" y="0"/>
                                <a:ext cx="146685" cy="161925"/>
                              </a:xfrm>
                              <a:prstGeom prst="star5">
                                <a:avLst/>
                              </a:prstGeom>
                              <a:solidFill>
                                <a:srgbClr val="FF0000"/>
                              </a:solidFill>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448" o:spid="_x0000_s1026" style="position:absolute;left:0pt;margin-left:214.3pt;margin-top:146.8pt;height:12.75pt;width:11.55pt;z-index:251660288;v-text-anchor:middle;mso-width-relative:page;mso-height-relative:page;" fillcolor="#FF0000" filled="t" stroked="t" coordsize="146685,161925" o:gfxdata="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qTlsLaAAAACwEAAA8AAAAAAAAAAQAg&#10;AAAAIgAAAGRycy9kb3ducmV2LnhtbFBLAQIUABQAAAAIAIdO4kC3xd5AfgIAAAQFAAAOAAAAAAAA&#10;AAEAIAAAACkBAABkcnMvZTJvRG9jLnhtbFBLBQYAAAAABgAGAFkBAAAZBgAAAAA=&#10;" path="m0,61849l56028,61850,73342,0,90656,61850,146684,61849,101356,100074,118670,161924,73342,123698,28014,161924,45328,100074xe">
                      <v:path textboxrect="0,0,146685,161925" o:connectlocs="73342,0;0,61849;28014,161924;118670,161924;146684,61849" o:connectangles="247,164,82,82,0"/>
                      <v:fill on="t" focussize="0,0"/>
                      <v:stroke weight="1pt" color="#000000 [3200]" miterlimit="8" joinstyle="miter"/>
                      <v:imagedata o:title=""/>
                      <o:lock v:ext="edit" aspectratio="f"/>
                      <v:textbox>
                        <w:txbxContent>
                          <w:p>
                            <w:pPr>
                              <w:jc w:val="center"/>
                            </w:pPr>
                          </w:p>
                        </w:txbxContent>
                      </v:textbox>
                    </v:shape>
                  </w:pict>
                </mc:Fallback>
              </mc:AlternateContent>
            </w:r>
            <w:r>
              <w:rPr>
                <w:color w:val="000000" w:themeColor="text1"/>
                <w:highlight w:val="none"/>
                <w14:textFill>
                  <w14:solidFill>
                    <w14:schemeClr w14:val="tx1"/>
                  </w14:solidFill>
                </w14:textFill>
              </w:rPr>
              <w:drawing>
                <wp:inline distT="0" distB="0" distL="114300" distR="114300">
                  <wp:extent cx="4876800" cy="6096635"/>
                  <wp:effectExtent l="15875" t="15875" r="22225" b="2159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8"/>
                          <a:stretch>
                            <a:fillRect/>
                          </a:stretch>
                        </pic:blipFill>
                        <pic:spPr>
                          <a:xfrm>
                            <a:off x="0" y="0"/>
                            <a:ext cx="4876800" cy="6096635"/>
                          </a:xfrm>
                          <a:prstGeom prst="rect">
                            <a:avLst/>
                          </a:prstGeom>
                          <a:noFill/>
                          <a:ln w="15875">
                            <a:solidFill>
                              <a:schemeClr val="tx1"/>
                            </a:solidFill>
                          </a:ln>
                        </pic:spPr>
                      </pic:pic>
                    </a:graphicData>
                  </a:graphic>
                </wp:inline>
              </w:drawing>
            </w:r>
          </w:p>
          <w:p>
            <w:pPr>
              <w:pStyle w:val="47"/>
              <w:numPr>
                <w:ilvl w:val="0"/>
                <w:numId w:val="5"/>
              </w:numPr>
              <w:autoSpaceDE w:val="0"/>
              <w:autoSpaceDN w:val="0"/>
              <w:adjustRightInd w:val="0"/>
              <w:snapToGrid w:val="0"/>
              <w:spacing w:line="360" w:lineRule="auto"/>
              <w:ind w:left="0" w:firstLine="0" w:firstLineChars="0"/>
              <w:jc w:val="center"/>
              <w:rPr>
                <w:rFonts w:ascii="Times New Roman" w:hAnsi="Times New Roman" w:eastAsia="宋体"/>
                <w:color w:val="000000" w:themeColor="text1"/>
                <w:szCs w:val="22"/>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项目选址与</w:t>
            </w:r>
            <w:r>
              <w:rPr>
                <w:rFonts w:ascii="Times New Roman" w:hAnsi="Times New Roman" w:eastAsia="宋体"/>
                <w:b/>
                <w:color w:val="000000" w:themeColor="text1"/>
                <w:szCs w:val="21"/>
                <w:highlight w:val="none"/>
                <w14:textFill>
                  <w14:solidFill>
                    <w14:schemeClr w14:val="tx1"/>
                  </w14:solidFill>
                </w14:textFill>
              </w:rPr>
              <w:t>承德市</w:t>
            </w:r>
            <w:r>
              <w:rPr>
                <w:rFonts w:hint="eastAsia" w:ascii="Times New Roman" w:hAnsi="Times New Roman" w:eastAsia="宋体"/>
                <w:b/>
                <w:color w:val="000000" w:themeColor="text1"/>
                <w:szCs w:val="21"/>
                <w:highlight w:val="none"/>
                <w14:textFill>
                  <w14:solidFill>
                    <w14:schemeClr w14:val="tx1"/>
                  </w14:solidFill>
                </w14:textFill>
              </w:rPr>
              <w:t>市域环境功能区划位置关系示意图</w:t>
            </w:r>
          </w:p>
          <w:p>
            <w:pPr>
              <w:autoSpaceDE w:val="0"/>
              <w:autoSpaceDN w:val="0"/>
              <w:adjustRightInd w:val="0"/>
              <w:snapToGrid w:val="0"/>
              <w:spacing w:line="360" w:lineRule="auto"/>
              <w:ind w:firstLine="480" w:firstLineChars="200"/>
              <w:jc w:val="left"/>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亚区。本项目所属区域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河北省承德市围场满族蒙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古族自治县</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围场镇金</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字</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村</w:t>
            </w:r>
            <w:r>
              <w:rPr>
                <w:rFonts w:ascii="Times New Roman" w:hAnsi="Times New Roman" w:cs="Times New Roman"/>
                <w:color w:val="000000" w:themeColor="text1"/>
                <w:sz w:val="24"/>
                <w:highlight w:val="none"/>
                <w14:textFill>
                  <w14:solidFill>
                    <w14:schemeClr w14:val="tx1"/>
                  </w14:solidFill>
                </w14:textFill>
              </w:rPr>
              <w:t>，根据承德市总体规划，项目区属于“冀北及燕山山地生态区（Ⅱ）——</w:t>
            </w:r>
            <w:r>
              <w:rPr>
                <w:rFonts w:hint="eastAsia" w:ascii="Times New Roman" w:hAnsi="Times New Roman" w:cs="Times New Roman"/>
                <w:color w:val="000000" w:themeColor="text1"/>
                <w:sz w:val="24"/>
                <w:highlight w:val="none"/>
                <w:lang w:val="en-US" w:eastAsia="zh-CN"/>
                <w14:textFill>
                  <w14:solidFill>
                    <w14:schemeClr w14:val="tx1"/>
                  </w14:solidFill>
                </w14:textFill>
              </w:rPr>
              <w:t>冀北山地森林生态亚区</w:t>
            </w:r>
            <w:r>
              <w:rPr>
                <w:rFonts w:ascii="Times New Roman" w:hAnsi="Times New Roman" w:cs="Times New Roman"/>
                <w:color w:val="000000" w:themeColor="text1"/>
                <w:sz w:val="24"/>
                <w:highlight w:val="none"/>
                <w14:textFill>
                  <w14:solidFill>
                    <w14:schemeClr w14:val="tx1"/>
                  </w14:solidFill>
                </w14:textFill>
              </w:rPr>
              <w:t>（Ⅱ-</w:t>
            </w:r>
            <w:r>
              <w:rPr>
                <w:rFonts w:hint="eastAsia" w:ascii="Times New Roman" w:hAnsi="Times New Roman" w:cs="Times New Roman"/>
                <w:color w:val="000000" w:themeColor="text1"/>
                <w:sz w:val="24"/>
                <w:highlight w:val="none"/>
                <w14:textFill>
                  <w14:solidFill>
                    <w14:schemeClr w14:val="tx1"/>
                  </w14:solidFill>
                </w14:textFill>
              </w:rPr>
              <w:t>1</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滦河中上游水土保持、水源涵养功能区</w:t>
            </w:r>
            <w:r>
              <w:rPr>
                <w:rFonts w:ascii="Times New Roman" w:hAnsi="Times New Roman" w:cs="Times New Roman"/>
                <w:color w:val="000000" w:themeColor="text1"/>
                <w:sz w:val="24"/>
                <w:highlight w:val="none"/>
                <w14:textFill>
                  <w14:solidFill>
                    <w14:schemeClr w14:val="tx1"/>
                  </w14:solidFill>
                </w14:textFill>
              </w:rPr>
              <w:t>（Ⅱ-</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，该区域主要生态环境问题、生态服务功能、建设方向及措施如下表所示。</w:t>
            </w:r>
          </w:p>
          <w:p>
            <w:pPr>
              <w:pStyle w:val="4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981" w:hanging="420"/>
              <w:textAlignment w:val="auto"/>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承德</w:t>
            </w:r>
            <w:r>
              <w:rPr>
                <w:rFonts w:hint="eastAsia" w:eastAsia="宋体"/>
                <w:color w:val="000000" w:themeColor="text1"/>
                <w:highlight w:val="none"/>
                <w14:textFill>
                  <w14:solidFill>
                    <w14:schemeClr w14:val="tx1"/>
                  </w14:solidFill>
                </w14:textFill>
              </w:rPr>
              <w:t>市总体规划中生态功能区划相关功能分区</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750"/>
              <w:gridCol w:w="1119"/>
              <w:gridCol w:w="1386"/>
              <w:gridCol w:w="1034"/>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生态区</w:t>
                  </w:r>
                </w:p>
              </w:tc>
              <w:tc>
                <w:tcPr>
                  <w:tcW w:w="455"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生态亚区</w:t>
                  </w:r>
                </w:p>
              </w:tc>
              <w:tc>
                <w:tcPr>
                  <w:tcW w:w="679"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生态功能区</w:t>
                  </w:r>
                </w:p>
              </w:tc>
              <w:tc>
                <w:tcPr>
                  <w:tcW w:w="841"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主要生态环境问题</w:t>
                  </w:r>
                </w:p>
              </w:tc>
              <w:tc>
                <w:tcPr>
                  <w:tcW w:w="627"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生态服务功能</w:t>
                  </w:r>
                </w:p>
              </w:tc>
              <w:tc>
                <w:tcPr>
                  <w:tcW w:w="1855"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冀北及燕山山地生态区</w:t>
                  </w:r>
                  <w:r>
                    <w:rPr>
                      <w:rFonts w:ascii="Times New Roman" w:hAnsi="Times New Roman" w:cs="Times New Roman"/>
                      <w:color w:val="000000" w:themeColor="text1"/>
                      <w:sz w:val="21"/>
                      <w:szCs w:val="21"/>
                      <w:highlight w:val="none"/>
                      <w14:textFill>
                        <w14:solidFill>
                          <w14:schemeClr w14:val="tx1"/>
                        </w14:solidFill>
                      </w14:textFill>
                    </w:rPr>
                    <w:fldChar w:fldCharType="begin"/>
                  </w:r>
                  <w:r>
                    <w:rPr>
                      <w:rFonts w:ascii="Times New Roman" w:hAnsi="Times New Roman" w:cs="Times New Roman"/>
                      <w:color w:val="000000" w:themeColor="text1"/>
                      <w:sz w:val="21"/>
                      <w:szCs w:val="21"/>
                      <w:highlight w:val="none"/>
                      <w14:textFill>
                        <w14:solidFill>
                          <w14:schemeClr w14:val="tx1"/>
                        </w14:solidFill>
                      </w14:textFill>
                    </w:rPr>
                    <w:instrText xml:space="preserve"> = 2 \* ROMAN </w:instrText>
                  </w:r>
                  <w:r>
                    <w:rPr>
                      <w:rFonts w:ascii="Times New Roman" w:hAnsi="Times New Roman" w:cs="Times New Roman"/>
                      <w:color w:val="000000" w:themeColor="text1"/>
                      <w:sz w:val="21"/>
                      <w:szCs w:val="21"/>
                      <w:highlight w:val="none"/>
                      <w14:textFill>
                        <w14:solidFill>
                          <w14:schemeClr w14:val="tx1"/>
                        </w14:solidFill>
                      </w14:textFill>
                    </w:rPr>
                    <w:fldChar w:fldCharType="separate"/>
                  </w:r>
                  <w:r>
                    <w:rPr>
                      <w:rFonts w:ascii="Times New Roman" w:hAnsi="Times New Roman" w:cs="Times New Roman"/>
                      <w:color w:val="000000" w:themeColor="text1"/>
                      <w:sz w:val="21"/>
                      <w:szCs w:val="21"/>
                      <w:highlight w:val="none"/>
                      <w14:textFill>
                        <w14:solidFill>
                          <w14:schemeClr w14:val="tx1"/>
                        </w14:solidFill>
                      </w14:textFill>
                    </w:rPr>
                    <w:t>II</w:t>
                  </w:r>
                  <w:r>
                    <w:rPr>
                      <w:rFonts w:ascii="Times New Roman" w:hAnsi="Times New Roman" w:cs="Times New Roman"/>
                      <w:color w:val="000000" w:themeColor="text1"/>
                      <w:sz w:val="21"/>
                      <w:szCs w:val="21"/>
                      <w:highlight w:val="none"/>
                      <w14:textFill>
                        <w14:solidFill>
                          <w14:schemeClr w14:val="tx1"/>
                        </w14:solidFill>
                      </w14:textFill>
                    </w:rPr>
                    <w:fldChar w:fldCharType="end"/>
                  </w:r>
                </w:p>
              </w:tc>
              <w:tc>
                <w:tcPr>
                  <w:tcW w:w="455"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冀北山地森林生态亚区</w:t>
                  </w:r>
                  <w:r>
                    <w:rPr>
                      <w:rFonts w:ascii="Times New Roman" w:hAnsi="Times New Roman" w:cs="Times New Roman"/>
                      <w:color w:val="000000" w:themeColor="text1"/>
                      <w:sz w:val="21"/>
                      <w:szCs w:val="21"/>
                      <w:highlight w:val="none"/>
                      <w14:textFill>
                        <w14:solidFill>
                          <w14:schemeClr w14:val="tx1"/>
                        </w14:solidFill>
                      </w14:textFill>
                    </w:rPr>
                    <w:t>（Ⅱ-</w:t>
                  </w:r>
                  <w:r>
                    <w:rPr>
                      <w:rFonts w:hint="eastAsia" w:ascii="Times New Roman" w:hAnsi="Times New Roman" w:cs="Times New Roman"/>
                      <w:color w:val="000000" w:themeColor="text1"/>
                      <w:sz w:val="21"/>
                      <w:szCs w:val="21"/>
                      <w:highlight w:val="none"/>
                      <w14:textFill>
                        <w14:solidFill>
                          <w14:schemeClr w14:val="tx1"/>
                        </w14:solidFill>
                      </w14:textFill>
                    </w:rPr>
                    <w:t>1</w:t>
                  </w:r>
                  <w:r>
                    <w:rPr>
                      <w:rFonts w:ascii="Times New Roman" w:hAnsi="Times New Roman" w:cs="Times New Roman"/>
                      <w:color w:val="000000" w:themeColor="text1"/>
                      <w:sz w:val="21"/>
                      <w:szCs w:val="21"/>
                      <w:highlight w:val="none"/>
                      <w14:textFill>
                        <w14:solidFill>
                          <w14:schemeClr w14:val="tx1"/>
                        </w14:solidFill>
                      </w14:textFill>
                    </w:rPr>
                    <w:t>）</w:t>
                  </w:r>
                </w:p>
              </w:tc>
              <w:tc>
                <w:tcPr>
                  <w:tcW w:w="679"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滦河中上游水土保持、水源涵养功能区</w:t>
                  </w:r>
                  <w:r>
                    <w:rPr>
                      <w:rFonts w:ascii="Times New Roman" w:hAnsi="Times New Roman" w:cs="Times New Roman"/>
                      <w:color w:val="000000" w:themeColor="text1"/>
                      <w:sz w:val="21"/>
                      <w:szCs w:val="21"/>
                      <w:highlight w:val="none"/>
                      <w14:textFill>
                        <w14:solidFill>
                          <w14:schemeClr w14:val="tx1"/>
                        </w14:solidFill>
                      </w14:textFill>
                    </w:rPr>
                    <w:t>（Ⅱ-</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r>
                    <w:rPr>
                      <w:rFonts w:ascii="Times New Roman" w:hAnsi="Times New Roman" w:cs="Times New Roman"/>
                      <w:color w:val="000000" w:themeColor="text1"/>
                      <w:sz w:val="21"/>
                      <w:szCs w:val="21"/>
                      <w:highlight w:val="none"/>
                      <w14:textFill>
                        <w14:solidFill>
                          <w14:schemeClr w14:val="tx1"/>
                        </w14:solidFill>
                      </w14:textFill>
                    </w:rPr>
                    <w:t>）</w:t>
                  </w:r>
                </w:p>
              </w:tc>
              <w:tc>
                <w:tcPr>
                  <w:tcW w:w="841"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森林生态防护体系造成一定程度的破坏，上壤侵蚀问题突出，局部士地沙化，水源涵养功能减弱。</w:t>
                  </w:r>
                </w:p>
              </w:tc>
              <w:tc>
                <w:tcPr>
                  <w:tcW w:w="627"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水源涵养、水土保持、生态农业生产</w:t>
                  </w:r>
                </w:p>
              </w:tc>
              <w:tc>
                <w:tcPr>
                  <w:tcW w:w="1855" w:type="pc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全面实施保护天然林、退耕还林、退牧还草工程;开展小流域综合治理;保护现有天然林，保护河流源头水源涵养林，营造防护林网;积极推进防沙治沙，做好水土流失综合防治工作，提高植被覆盖率和水源涵养能力。</w:t>
                  </w:r>
                </w:p>
              </w:tc>
            </w:tr>
          </w:tbl>
          <w:p>
            <w:pPr>
              <w:autoSpaceDE w:val="0"/>
              <w:autoSpaceDN w:val="0"/>
              <w:adjustRightInd w:val="0"/>
              <w:snapToGrid w:val="0"/>
              <w:spacing w:before="156" w:beforeLines="50" w:line="360" w:lineRule="auto"/>
              <w:ind w:firstLine="480" w:firstLineChars="200"/>
              <w:jc w:val="left"/>
              <w:rPr>
                <w:rFonts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本项目在现有厂区内建设，不新增占地，</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无废水外排，不会导致水土流失及荒漠化现象</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对</w:t>
            </w:r>
            <w:r>
              <w:rPr>
                <w:rFonts w:ascii="Times New Roman" w:hAnsi="Times New Roman" w:eastAsia="宋体" w:cs="Times New Roman"/>
                <w:color w:val="000000" w:themeColor="text1"/>
                <w:kern w:val="0"/>
                <w:sz w:val="24"/>
                <w:highlight w:val="none"/>
                <w14:textFill>
                  <w14:solidFill>
                    <w14:schemeClr w14:val="tx1"/>
                  </w14:solidFill>
                </w14:textFill>
              </w:rPr>
              <w:t>区域生态环境</w:t>
            </w:r>
            <w:r>
              <w:rPr>
                <w:rFonts w:hint="eastAsia" w:ascii="Times New Roman" w:hAnsi="Times New Roman" w:eastAsia="宋体" w:cs="Times New Roman"/>
                <w:color w:val="000000" w:themeColor="text1"/>
                <w:kern w:val="0"/>
                <w:sz w:val="24"/>
                <w:highlight w:val="none"/>
                <w14:textFill>
                  <w14:solidFill>
                    <w14:schemeClr w14:val="tx1"/>
                  </w14:solidFill>
                </w14:textFill>
              </w:rPr>
              <w:t>影响较小</w:t>
            </w:r>
            <w:r>
              <w:rPr>
                <w:rFonts w:ascii="Times New Roman" w:hAnsi="Times New Roman" w:eastAsia="宋体" w:cs="Times New Roman"/>
                <w:color w:val="000000" w:themeColor="text1"/>
                <w:kern w:val="0"/>
                <w:sz w:val="24"/>
                <w:highlight w:val="none"/>
                <w14:textFill>
                  <w14:solidFill>
                    <w14:schemeClr w14:val="tx1"/>
                  </w14:solidFill>
                </w14:textFill>
              </w:rPr>
              <w:t>，符合</w:t>
            </w:r>
            <w:r>
              <w:rPr>
                <w:rFonts w:hint="eastAsia" w:ascii="Times New Roman" w:hAnsi="Times New Roman" w:eastAsia="宋体" w:cs="Times New Roman"/>
                <w:color w:val="000000" w:themeColor="text1"/>
                <w:kern w:val="0"/>
                <w:sz w:val="24"/>
                <w:highlight w:val="none"/>
                <w14:textFill>
                  <w14:solidFill>
                    <w14:schemeClr w14:val="tx1"/>
                  </w14:solidFill>
                </w14:textFill>
              </w:rPr>
              <w:t>《承德市城市总体规划》（2016-2030年）</w:t>
            </w:r>
            <w:r>
              <w:rPr>
                <w:rFonts w:ascii="Times New Roman" w:hAnsi="Times New Roman" w:eastAsia="宋体" w:cs="Times New Roman"/>
                <w:color w:val="000000" w:themeColor="text1"/>
                <w:kern w:val="0"/>
                <w:sz w:val="24"/>
                <w:highlight w:val="none"/>
                <w14:textFill>
                  <w14:solidFill>
                    <w14:schemeClr w14:val="tx1"/>
                  </w14:solidFill>
                </w14:textFill>
              </w:rPr>
              <w:t>相关要求。</w:t>
            </w:r>
          </w:p>
          <w:p>
            <w:pPr>
              <w:snapToGrid w:val="0"/>
              <w:spacing w:line="360" w:lineRule="auto"/>
              <w:ind w:firstLine="480"/>
              <w:rPr>
                <w:rFonts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4、《承德市生态环境保护“十四五”规划》</w:t>
            </w:r>
          </w:p>
          <w:p>
            <w:pPr>
              <w:spacing w:line="360" w:lineRule="auto"/>
              <w:ind w:firstLine="480" w:firstLineChars="200"/>
              <w:rPr>
                <w:rFonts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根据《承德市生态环境保护“十四五”规划》（承市政字[2022]16号）：</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推动能源清洁高效利用，</w:t>
            </w:r>
            <w:r>
              <w:rPr>
                <w:rFonts w:hint="eastAsia" w:ascii="Times New Roman" w:hAnsi="Times New Roman" w:eastAsia="宋体" w:cs="Times New Roman"/>
                <w:color w:val="000000" w:themeColor="text1"/>
                <w:kern w:val="0"/>
                <w:sz w:val="24"/>
                <w:highlight w:val="none"/>
                <w14:textFill>
                  <w14:solidFill>
                    <w14:schemeClr w14:val="tx1"/>
                  </w14:solidFill>
                </w14:textFill>
              </w:rPr>
              <w:t>调整优化能源供给结构</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控制煤炭消费总量，实施终端用能清洁化替代</w:t>
            </w:r>
            <w:r>
              <w:rPr>
                <w:rFonts w:hint="eastAsia" w:ascii="Times New Roman" w:hAnsi="Times New Roman" w:eastAsia="宋体" w:cs="Times New Roman"/>
                <w:color w:val="000000" w:themeColor="text1"/>
                <w:kern w:val="0"/>
                <w:sz w:val="24"/>
                <w:highlight w:val="none"/>
                <w14:textFill>
                  <w14:solidFill>
                    <w14:schemeClr w14:val="tx1"/>
                  </w14:solidFill>
                </w14:textFill>
              </w:rPr>
              <w:t>。建设产业集群集中供汽供热或清洁低碳能源中心，推动锅炉和工业炉窑使用清洁低碳能源或利用工厂余热、电厂热力。</w:t>
            </w:r>
          </w:p>
          <w:p>
            <w:pPr>
              <w:spacing w:line="360" w:lineRule="auto"/>
              <w:ind w:firstLine="480" w:firstLineChars="200"/>
              <w:rPr>
                <w:rFonts w:hint="eastAsia"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本项目</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为技改项目，主要对热能中心45MW燃生物质锅炉鼓风机进行改造，加大鼓风机风量，满足干燥工序生产需求</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项目所用燃料主要为树皮、不合格木片、锯屑和边角料，</w:t>
            </w:r>
            <w:r>
              <w:rPr>
                <w:rFonts w:hint="eastAsia" w:ascii="Times New Roman" w:hAnsi="Times New Roman" w:eastAsia="宋体" w:cs="Times New Roman"/>
                <w:color w:val="000000" w:themeColor="text1"/>
                <w:kern w:val="0"/>
                <w:sz w:val="24"/>
                <w:highlight w:val="none"/>
                <w14:textFill>
                  <w14:solidFill>
                    <w14:schemeClr w14:val="tx1"/>
                  </w14:solidFill>
                </w14:textFill>
              </w:rPr>
              <w:t>项目的建设有助于调整能源结构，</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控制煤炭消费总量</w:t>
            </w:r>
            <w:r>
              <w:rPr>
                <w:rFonts w:hint="eastAsia" w:ascii="Times New Roman" w:hAnsi="Times New Roman" w:eastAsia="宋体" w:cs="Times New Roman"/>
                <w:color w:val="000000" w:themeColor="text1"/>
                <w:kern w:val="0"/>
                <w:sz w:val="24"/>
                <w:highlight w:val="none"/>
                <w14:textFill>
                  <w14:solidFill>
                    <w14:schemeClr w14:val="tx1"/>
                  </w14:solidFill>
                </w14:textFill>
              </w:rPr>
              <w:t xml:space="preserve">。综上，项目的建设满足《承德市生态环境保护“十四五”规划》要求。 </w:t>
            </w:r>
          </w:p>
          <w:p>
            <w:pPr>
              <w:autoSpaceDE w:val="0"/>
              <w:autoSpaceDN w:val="0"/>
              <w:adjustRightInd w:val="0"/>
              <w:snapToGrid w:val="0"/>
              <w:spacing w:line="360" w:lineRule="auto"/>
              <w:ind w:firstLine="482" w:firstLineChars="200"/>
              <w:jc w:val="left"/>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5、《围场满族蒙古族自治县国土空间总体规划》（2021-2035）</w:t>
            </w:r>
          </w:p>
          <w:p>
            <w:pPr>
              <w:autoSpaceDE w:val="0"/>
              <w:autoSpaceDN w:val="0"/>
              <w:adjustRightInd w:val="0"/>
              <w:snapToGrid w:val="0"/>
              <w:spacing w:line="360" w:lineRule="auto"/>
              <w:ind w:firstLine="480" w:firstLineChars="200"/>
              <w:rPr>
                <w:rFonts w:hint="default" w:ascii="Times New Roman" w:hAnsi="Times New Roman" w:cs="Times New Roman"/>
                <w:color w:val="000000" w:themeColor="text1"/>
                <w:kern w:val="44"/>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围场满族蒙古族自治县国土空间总体规划》要求构建国土空间总体格局，构建“一主两副，两区三带，五廊多点”的国土空间总体格局。统筹划定六大规划分区，进行空间管制根据县域国土空间的资源分布现状，落实国土空间保护与利用的管控意图将围场县域分为生态保护区、生态控制区、农田保护区、乡村发展区城镇发展区五类分区进行管控。按照永久基本农田、生态保护红线、城镇开发边界的优先顺序统筹划定三条控制线。</w:t>
            </w:r>
          </w:p>
          <w:p>
            <w:pPr>
              <w:spacing w:line="360" w:lineRule="auto"/>
              <w:ind w:firstLine="480" w:firstLineChars="200"/>
              <w:rPr>
                <w:rFonts w:hint="eastAsia" w:ascii="Times New Roman" w:hAnsi="Times New Roman" w:cs="Times New Roman"/>
                <w:color w:val="000000" w:themeColor="text1"/>
                <w:kern w:val="44"/>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项目位于</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河北省承德市围场满族蒙古族自治县经济开发区围场镇金字村承德森禧木业有限公司厂区内</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。本项目为技改项目，在现有厂区进行建设，不新增占地。项目</w:t>
            </w:r>
            <w:r>
              <w:rPr>
                <w:rFonts w:ascii="宋体" w:hAnsi="宋体" w:eastAsia="宋体" w:cs="宋体"/>
                <w:color w:val="000000" w:themeColor="text1"/>
                <w:sz w:val="24"/>
                <w:szCs w:val="24"/>
                <w:highlight w:val="none"/>
                <w14:textFill>
                  <w14:solidFill>
                    <w14:schemeClr w14:val="tx1"/>
                  </w14:solidFill>
                </w14:textFill>
              </w:rPr>
              <w:t>不占用生态保护红线、不占用永久基本农田</w:t>
            </w:r>
            <w:r>
              <w:rPr>
                <w:rFonts w:hint="eastAsia" w:ascii="Times New Roman" w:hAnsi="Times New Roman" w:cs="Times New Roman"/>
                <w:color w:val="000000" w:themeColor="text1"/>
                <w:kern w:val="2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项目建设内容符合《河北围场经济开发区国土空间总体规划》（2023-2035）的相关要求。</w:t>
            </w:r>
          </w:p>
          <w:p>
            <w:pPr>
              <w:autoSpaceDE w:val="0"/>
              <w:autoSpaceDN w:val="0"/>
              <w:adjustRightInd w:val="0"/>
              <w:snapToGrid w:val="0"/>
              <w:spacing w:line="360" w:lineRule="auto"/>
              <w:ind w:firstLine="482" w:firstLineChars="200"/>
              <w:jc w:val="left"/>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6、《中华人民共和国防沙治沙法》</w:t>
            </w:r>
          </w:p>
          <w:p>
            <w:pPr>
              <w:autoSpaceDE w:val="0"/>
              <w:autoSpaceDN w:val="0"/>
              <w:adjustRightInd w:val="0"/>
              <w:snapToGrid w:val="0"/>
              <w:spacing w:line="360" w:lineRule="auto"/>
              <w:ind w:firstLine="480" w:firstLineChars="200"/>
              <w:rPr>
                <w:rFonts w:hint="default" w:ascii="Times New Roman" w:hAnsi="Times New Roman" w:cs="Times New Roman"/>
                <w:color w:val="000000" w:themeColor="text1"/>
                <w:kern w:val="44"/>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根据《中华人民共和国防沙治沙法》：</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第二十一条 在沙化土地范围内从事开发建设活动的，必须事先就该项目可能对当地及相关地区生态产生的影响进行环境影响评价，依法提交环境影响报告；环境影响报告应当包括有关防沙治沙的内容。</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河北省生态环境厅于2023年9月27日发布了《河北省生态环境厅办公室</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关于进一步做好沙区建设项目环境影响评价工作的通知</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冀环办字函</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2023</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326号</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，该文件要求：</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严格审查沙区建设项目环评中有关防沙治沙内容，全面落实沙区生态环境保护工作。</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 xml:space="preserve"> </w:t>
            </w:r>
          </w:p>
          <w:p>
            <w:pPr>
              <w:autoSpaceDE w:val="0"/>
              <w:autoSpaceDN w:val="0"/>
              <w:adjustRightInd w:val="0"/>
              <w:snapToGrid w:val="0"/>
              <w:spacing w:line="360" w:lineRule="auto"/>
              <w:ind w:firstLine="480" w:firstLineChars="200"/>
              <w:rPr>
                <w:rFonts w:hint="default" w:ascii="Times New Roman" w:hAnsi="Times New Roman" w:cs="Times New Roman"/>
                <w:color w:val="000000" w:themeColor="text1"/>
                <w:kern w:val="44"/>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本项目选址为河北省承德市围场满族蒙古族自治县经济开发区围场镇金字村（3组23号）承德森禧木业有限公司厂区内，依据</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河北省“三线一单”信息管理平台</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中全省沙化土地矢量文件，本项目</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占地</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区域</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部分</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为</w:t>
            </w:r>
            <w:r>
              <w:rPr>
                <w:rFonts w:hint="default" w:ascii="Times New Roman" w:hAnsi="Times New Roman" w:cs="Times New Roman"/>
                <w:color w:val="000000" w:themeColor="text1"/>
                <w:kern w:val="44"/>
                <w:sz w:val="24"/>
                <w:szCs w:val="24"/>
                <w:highlight w:val="none"/>
                <w:lang w:val="en-US" w:eastAsia="zh-CN"/>
                <w14:textFill>
                  <w14:solidFill>
                    <w14:schemeClr w14:val="tx1"/>
                  </w14:solidFill>
                </w14:textFill>
              </w:rPr>
              <w:t>沙化区，</w:t>
            </w:r>
            <w:r>
              <w:rPr>
                <w:rFonts w:hint="eastAsia"/>
                <w:color w:val="000000" w:themeColor="text1"/>
                <w:sz w:val="24"/>
                <w:szCs w:val="24"/>
                <w:highlight w:val="none"/>
                <w14:textFill>
                  <w14:solidFill>
                    <w14:schemeClr w14:val="tx1"/>
                  </w14:solidFill>
                </w14:textFill>
              </w:rPr>
              <w:t>项目与沙区位置关系如图</w:t>
            </w:r>
            <w:r>
              <w:rPr>
                <w:rFonts w:hint="default" w:ascii="Times New Roman" w:hAnsi="Times New Roman" w:cs="Times New Roman"/>
                <w:color w:val="000000" w:themeColor="text1"/>
                <w:kern w:val="44"/>
                <w:sz w:val="24"/>
                <w:szCs w:val="24"/>
                <w:highlight w:val="none"/>
                <w:lang w:val="en-US" w:eastAsia="zh-CN"/>
                <w14:textFill>
                  <w14:solidFill>
                    <w14:schemeClr w14:val="tx1"/>
                  </w14:solidFill>
                </w14:textFill>
              </w:rPr>
              <w:t>。</w:t>
            </w:r>
          </w:p>
          <w:p>
            <w:pPr>
              <w:autoSpaceDE w:val="0"/>
              <w:autoSpaceDN w:val="0"/>
              <w:adjustRightInd w:val="0"/>
              <w:snapToGrid w:val="0"/>
              <w:spacing w:line="360" w:lineRule="auto"/>
              <w:ind w:firstLine="480" w:firstLineChars="200"/>
              <w:rPr>
                <w:rFonts w:hint="default" w:ascii="Times New Roman" w:hAnsi="Times New Roman" w:cs="Times New Roman"/>
                <w:color w:val="000000" w:themeColor="text1"/>
                <w:kern w:val="44"/>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根据《中华人民共和国防沙治沙法》：</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第二条第三款 本法所称土地沙化，是指主要因人类不合理活动所导致的天然沙漠扩张和沙质土壤上植被及覆盖物被破坏，形成流沙及沙土裸露的过程。</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第六条 使用土地的单位和个人，有防止该土地沙化的义务。使用已经沙化的土地的单位和个人，有治理该沙化土地的义务。</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p>
          <w:p>
            <w:pPr>
              <w:autoSpaceDE w:val="0"/>
              <w:autoSpaceDN w:val="0"/>
              <w:adjustRightInd w:val="0"/>
              <w:snapToGrid w:val="0"/>
              <w:spacing w:line="360" w:lineRule="auto"/>
              <w:ind w:firstLine="480" w:firstLineChars="200"/>
              <w:rPr>
                <w:rFonts w:hint="eastAsia" w:ascii="Times New Roman" w:hAnsi="Times New Roman" w:cs="Times New Roman"/>
                <w:color w:val="000000" w:themeColor="text1"/>
                <w:kern w:val="44"/>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企业</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不在天然沙漠扩张区内，厂区所涉及的沙区</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地面已全部硬化，</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不存在沙土裸露情况。</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本技改项目</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施工期</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主要为设备安装，施工过程主要在厂区内进行，不新增占地，不会在</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施工期间因沙土裸露形成流沙。项目运营期地面全部硬化</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44"/>
                <w:sz w:val="24"/>
                <w:highlight w:val="none"/>
                <w:lang w:val="en-US" w:eastAsia="zh-CN"/>
                <w14:textFill>
                  <w14:solidFill>
                    <w14:schemeClr w14:val="tx1"/>
                  </w14:solidFill>
                </w14:textFill>
              </w:rPr>
              <w:t>不会形成流沙。项目建设符合《中华人民共和国防沙治沙法》相关要求</w:t>
            </w:r>
            <w:r>
              <w:rPr>
                <w:rFonts w:hint="eastAsia" w:ascii="Times New Roman" w:hAnsi="Times New Roman" w:cs="Times New Roman"/>
                <w:color w:val="000000" w:themeColor="text1"/>
                <w:kern w:val="44"/>
                <w:sz w:val="24"/>
                <w:highlight w:val="none"/>
                <w:lang w:val="en-US" w:eastAsia="zh-CN"/>
                <w14:textFill>
                  <w14:solidFill>
                    <w14:schemeClr w14:val="tx1"/>
                  </w14:solidFill>
                </w14:textFill>
              </w:rPr>
              <w:t>。</w:t>
            </w:r>
          </w:p>
          <w:p>
            <w:pPr>
              <w:pStyle w:val="47"/>
              <w:numPr>
                <w:ilvl w:val="0"/>
                <w:numId w:val="5"/>
              </w:numPr>
              <w:autoSpaceDE w:val="0"/>
              <w:autoSpaceDN w:val="0"/>
              <w:adjustRightInd w:val="0"/>
              <w:snapToGrid w:val="0"/>
              <w:spacing w:line="360" w:lineRule="auto"/>
              <w:ind w:left="0" w:firstLine="0" w:firstLineChars="0"/>
              <w:jc w:val="center"/>
              <w:rPr>
                <w:rFonts w:ascii="Times New Roman" w:hAnsi="Times New Roman" w:eastAsia="宋体"/>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2336" behindDoc="1" locked="0" layoutInCell="1" allowOverlap="1">
                  <wp:simplePos x="0" y="0"/>
                  <wp:positionH relativeFrom="column">
                    <wp:posOffset>533400</wp:posOffset>
                  </wp:positionH>
                  <wp:positionV relativeFrom="paragraph">
                    <wp:posOffset>-5636260</wp:posOffset>
                  </wp:positionV>
                  <wp:extent cx="5180330" cy="2988945"/>
                  <wp:effectExtent l="12700" t="12700" r="26670" b="27305"/>
                  <wp:wrapTight wrapText="bothSides">
                    <wp:wrapPolygon>
                      <wp:start x="-53" y="-92"/>
                      <wp:lineTo x="-53" y="21522"/>
                      <wp:lineTo x="21552" y="21522"/>
                      <wp:lineTo x="21552" y="-92"/>
                      <wp:lineTo x="-53" y="-92"/>
                    </wp:wrapPolygon>
                  </wp:wrapTight>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5180330" cy="2988945"/>
                          </a:xfrm>
                          <a:prstGeom prst="rect">
                            <a:avLst/>
                          </a:prstGeom>
                          <a:noFill/>
                          <a:ln w="12700" cmpd="sng">
                            <a:solidFill>
                              <a:schemeClr val="tx1"/>
                            </a:solidFill>
                            <a:prstDash val="solid"/>
                          </a:ln>
                        </pic:spPr>
                      </pic:pic>
                    </a:graphicData>
                  </a:graphic>
                </wp:anchor>
              </w:drawing>
            </w:r>
            <w:r>
              <w:rPr>
                <w:rFonts w:hint="eastAsia" w:ascii="Times New Roman" w:hAnsi="Times New Roman" w:eastAsia="宋体" w:cs="Times New Roman"/>
                <w:b/>
                <w:color w:val="000000" w:themeColor="text1"/>
                <w:szCs w:val="21"/>
                <w:highlight w:val="none"/>
                <w14:textFill>
                  <w14:solidFill>
                    <w14:schemeClr w14:val="tx1"/>
                  </w14:solidFill>
                </w14:textFill>
              </w:rPr>
              <w:t>项目与</w:t>
            </w:r>
            <w:r>
              <w:rPr>
                <w:rFonts w:hint="eastAsia" w:ascii="Times New Roman" w:hAnsi="Times New Roman" w:eastAsia="宋体" w:cs="Times New Roman"/>
                <w:b/>
                <w:color w:val="000000" w:themeColor="text1"/>
                <w:szCs w:val="21"/>
                <w:highlight w:val="none"/>
                <w:lang w:val="en-US" w:eastAsia="zh-CN"/>
                <w14:textFill>
                  <w14:solidFill>
                    <w14:schemeClr w14:val="tx1"/>
                  </w14:solidFill>
                </w14:textFill>
              </w:rPr>
              <w:t>沙化区</w:t>
            </w:r>
            <w:r>
              <w:rPr>
                <w:rFonts w:hint="eastAsia" w:ascii="Times New Roman" w:hAnsi="Times New Roman" w:eastAsia="宋体" w:cs="Times New Roman"/>
                <w:b/>
                <w:color w:val="000000" w:themeColor="text1"/>
                <w:szCs w:val="21"/>
                <w:highlight w:val="none"/>
                <w14:textFill>
                  <w14:solidFill>
                    <w14:schemeClr w14:val="tx1"/>
                  </w14:solidFill>
                </w14:textFill>
              </w:rPr>
              <w:t>位置关系示意图</w:t>
            </w:r>
          </w:p>
          <w:p>
            <w:pPr>
              <w:spacing w:line="360" w:lineRule="auto"/>
              <w:rPr>
                <w:rFonts w:hint="eastAsia" w:ascii="Times New Roman" w:hAnsi="Times New Roman" w:cs="Times New Roman"/>
                <w:color w:val="000000" w:themeColor="text1"/>
                <w:kern w:val="44"/>
                <w:sz w:val="24"/>
                <w:highlight w:val="none"/>
                <w:lang w:val="en-US" w:eastAsia="zh-CN"/>
                <w14:textFill>
                  <w14:solidFill>
                    <w14:schemeClr w14:val="tx1"/>
                  </w14:solidFill>
                </w14:textFill>
              </w:rPr>
            </w:pPr>
          </w:p>
        </w:tc>
      </w:tr>
    </w:tbl>
    <w:p>
      <w:pPr>
        <w:pStyle w:val="17"/>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4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56" w:hRule="atLeast"/>
          <w:jc w:val="center"/>
        </w:trPr>
        <w:tc>
          <w:tcPr>
            <w:tcW w:w="492"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7"/>
              <w:adjustRightInd w:val="0"/>
              <w:snapToGrid w:val="0"/>
              <w:spacing w:beforeAutospacing="0" w:afterAutospacing="0"/>
              <w:jc w:val="center"/>
              <w:rPr>
                <w:rFonts w:hint="default" w:ascii="Times New Roman" w:hAnsi="Times New Roman"/>
                <w:color w:val="000000" w:themeColor="text1"/>
                <w:szCs w:val="24"/>
                <w:highlight w:val="none"/>
                <w14:textFill>
                  <w14:solidFill>
                    <w14:schemeClr w14:val="tx1"/>
                  </w14:solidFill>
                </w14:textFill>
              </w:rPr>
            </w:pPr>
            <w:r>
              <w:rPr>
                <w:rFonts w:hint="default" w:ascii="Times New Roman" w:hAnsi="Times New Roman"/>
                <w:color w:val="000000" w:themeColor="text1"/>
                <w:szCs w:val="24"/>
                <w:highlight w:val="none"/>
                <w14:textFill>
                  <w14:solidFill>
                    <w14:schemeClr w14:val="tx1"/>
                  </w14:solidFill>
                </w14:textFill>
              </w:rPr>
              <w:t>建设内容</w:t>
            </w:r>
          </w:p>
        </w:tc>
        <w:tc>
          <w:tcPr>
            <w:tcW w:w="8478" w:type="dxa"/>
            <w:tcBorders>
              <w:top w:val="single" w:color="auto" w:sz="8" w:space="0"/>
              <w:left w:val="single" w:color="auto" w:sz="4" w:space="0"/>
              <w:bottom w:val="single" w:color="auto" w:sz="4" w:space="0"/>
              <w:right w:val="single" w:color="auto" w:sz="8" w:space="0"/>
            </w:tcBorders>
            <w:shd w:val="clear" w:color="auto" w:fill="auto"/>
          </w:tcPr>
          <w:p>
            <w:pPr>
              <w:snapToGrid w:val="0"/>
              <w:spacing w:line="360" w:lineRule="auto"/>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highlight w:val="none"/>
                <w14:textFill>
                  <w14:solidFill>
                    <w14:schemeClr w14:val="tx1"/>
                  </w14:solidFill>
                </w14:textFill>
              </w:rPr>
              <w:t>项目由来</w:t>
            </w:r>
          </w:p>
          <w:p>
            <w:pPr>
              <w:snapToGrid w:val="0"/>
              <w:spacing w:line="360" w:lineRule="auto"/>
              <w:ind w:firstLine="480" w:firstLineChars="200"/>
              <w:rPr>
                <w:rFonts w:hint="eastAsia" w:ascii="Times New Roman" w:hAnsi="Times New Roman"/>
                <w:color w:val="000000" w:themeColor="text1"/>
                <w:sz w:val="24"/>
                <w:highlight w:val="none"/>
                <w:lang w:eastAsia="zh-CN"/>
                <w14:textFill>
                  <w14:solidFill>
                    <w14:schemeClr w14:val="tx1"/>
                  </w14:solidFill>
                </w14:textFill>
              </w:rPr>
            </w:pPr>
            <w:r>
              <w:rPr>
                <w:rFonts w:hint="eastAsia" w:ascii="Times New Roman" w:hAnsi="Times New Roman"/>
                <w:color w:val="000000" w:themeColor="text1"/>
                <w:sz w:val="24"/>
                <w:highlight w:val="none"/>
                <w:lang w:eastAsia="zh-CN"/>
                <w14:textFill>
                  <w14:solidFill>
                    <w14:schemeClr w14:val="tx1"/>
                  </w14:solidFill>
                </w14:textFill>
              </w:rPr>
              <w:t>超强刨花板是近年发展的一种刨花板类产品，其特点是通过增大刨花长度改变刨花形态以提高刨花板产品性能，与普通刨花板相比其物理力学性能有所改善。为抓住市场机遇，承德森禧木业有限公司</w:t>
            </w:r>
            <w:r>
              <w:rPr>
                <w:rFonts w:hint="eastAsia" w:ascii="Times New Roman" w:hAnsi="Times New Roman"/>
                <w:color w:val="000000" w:themeColor="text1"/>
                <w:sz w:val="24"/>
                <w:highlight w:val="none"/>
                <w:lang w:val="en-US" w:eastAsia="zh-CN"/>
                <w14:textFill>
                  <w14:solidFill>
                    <w14:schemeClr w14:val="tx1"/>
                  </w14:solidFill>
                </w14:textFill>
              </w:rPr>
              <w:t>决定</w:t>
            </w:r>
            <w:r>
              <w:rPr>
                <w:rFonts w:hint="eastAsia" w:ascii="Times New Roman" w:hAnsi="Times New Roman"/>
                <w:color w:val="000000" w:themeColor="text1"/>
                <w:sz w:val="24"/>
                <w:highlight w:val="none"/>
                <w:lang w:eastAsia="zh-CN"/>
                <w14:textFill>
                  <w14:solidFill>
                    <w14:schemeClr w14:val="tx1"/>
                  </w14:solidFill>
                </w14:textFill>
              </w:rPr>
              <w:t>在河北省承德市围场满族蒙古族自治县</w:t>
            </w:r>
            <w:r>
              <w:rPr>
                <w:rFonts w:hint="eastAsia" w:ascii="Times New Roman" w:hAnsi="Times New Roman"/>
                <w:color w:val="000000" w:themeColor="text1"/>
                <w:sz w:val="24"/>
                <w:highlight w:val="none"/>
                <w:lang w:val="en-US" w:eastAsia="zh-CN"/>
                <w14:textFill>
                  <w14:solidFill>
                    <w14:schemeClr w14:val="tx1"/>
                  </w14:solidFill>
                </w14:textFill>
              </w:rPr>
              <w:t>围场镇金字村建设“</w:t>
            </w:r>
            <w:r>
              <w:rPr>
                <w:rFonts w:hint="eastAsia" w:ascii="Times New Roman" w:hAnsi="Times New Roman"/>
                <w:color w:val="000000" w:themeColor="text1"/>
                <w:sz w:val="24"/>
                <w:highlight w:val="none"/>
                <w:lang w:eastAsia="zh-CN"/>
                <w14:textFill>
                  <w14:solidFill>
                    <w14:schemeClr w14:val="tx1"/>
                  </w14:solidFill>
                </w14:textFill>
              </w:rPr>
              <w:t>承德森禧木业有限公司</w:t>
            </w:r>
            <w:r>
              <w:rPr>
                <w:rFonts w:hint="eastAsia" w:ascii="Times New Roman" w:hAnsi="Times New Roman"/>
                <w:color w:val="000000" w:themeColor="text1"/>
                <w:sz w:val="24"/>
                <w:highlight w:val="none"/>
                <w:lang w:val="en-US" w:eastAsia="zh-CN"/>
                <w14:textFill>
                  <w14:solidFill>
                    <w14:schemeClr w14:val="tx1"/>
                  </w14:solidFill>
                </w14:textFill>
              </w:rPr>
              <w:t>京津冀生态板材产业园项目”生产超强刨花板，项目建成后年产超强刨花板30万m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，该项目</w:t>
            </w:r>
            <w:r>
              <w:rPr>
                <w:rFonts w:hint="eastAsia" w:ascii="Times New Roman" w:hAnsi="Times New Roman"/>
                <w:color w:val="000000" w:themeColor="text1"/>
                <w:sz w:val="24"/>
                <w:highlight w:val="none"/>
                <w:lang w:eastAsia="zh-CN"/>
                <w14:textFill>
                  <w14:solidFill>
                    <w14:schemeClr w14:val="tx1"/>
                  </w14:solidFill>
                </w14:textFill>
              </w:rPr>
              <w:t>于2020年5月13日</w:t>
            </w:r>
            <w:r>
              <w:rPr>
                <w:rFonts w:hint="eastAsia" w:ascii="Times New Roman" w:hAnsi="Times New Roman"/>
                <w:color w:val="000000" w:themeColor="text1"/>
                <w:sz w:val="24"/>
                <w:highlight w:val="none"/>
                <w:lang w:val="en-US" w:eastAsia="zh-CN"/>
                <w14:textFill>
                  <w14:solidFill>
                    <w14:schemeClr w14:val="tx1"/>
                  </w14:solidFill>
                </w14:textFill>
              </w:rPr>
              <w:t>取得</w:t>
            </w:r>
            <w:r>
              <w:rPr>
                <w:rFonts w:hint="eastAsia" w:ascii="Times New Roman" w:hAnsi="Times New Roman"/>
                <w:color w:val="000000" w:themeColor="text1"/>
                <w:sz w:val="24"/>
                <w:highlight w:val="none"/>
                <w:lang w:eastAsia="zh-CN"/>
                <w14:textFill>
                  <w14:solidFill>
                    <w14:schemeClr w14:val="tx1"/>
                  </w14:solidFill>
                </w14:textFill>
              </w:rPr>
              <w:t>备案</w:t>
            </w:r>
            <w:bookmarkStart w:id="2" w:name="_Hlk142916802"/>
            <w:r>
              <w:rPr>
                <w:rFonts w:hint="eastAsia" w:ascii="Times New Roman" w:hAnsi="Times New Roman"/>
                <w:color w:val="000000" w:themeColor="text1"/>
                <w:sz w:val="24"/>
                <w:highlight w:val="none"/>
                <w:lang w:eastAsia="zh-CN"/>
                <w14:textFill>
                  <w14:solidFill>
                    <w14:schemeClr w14:val="tx1"/>
                  </w14:solidFill>
                </w14:textFill>
              </w:rPr>
              <w:t>。2020年8月</w:t>
            </w:r>
            <w:r>
              <w:rPr>
                <w:rFonts w:hint="eastAsia" w:ascii="Times New Roman" w:hAnsi="Times New Roman"/>
                <w:color w:val="000000" w:themeColor="text1"/>
                <w:sz w:val="24"/>
                <w:highlight w:val="none"/>
                <w:lang w:val="en-US" w:eastAsia="zh-CN"/>
                <w14:textFill>
                  <w14:solidFill>
                    <w14:schemeClr w14:val="tx1"/>
                  </w14:solidFill>
                </w14:textFill>
              </w:rPr>
              <w:t>企业</w:t>
            </w:r>
            <w:r>
              <w:rPr>
                <w:rFonts w:hint="eastAsia" w:ascii="Times New Roman" w:hAnsi="Times New Roman"/>
                <w:color w:val="000000" w:themeColor="text1"/>
                <w:sz w:val="24"/>
                <w:highlight w:val="none"/>
                <w:lang w:eastAsia="zh-CN"/>
                <w14:textFill>
                  <w14:solidFill>
                    <w14:schemeClr w14:val="tx1"/>
                  </w14:solidFill>
                </w14:textFill>
              </w:rPr>
              <w:t>委托</w:t>
            </w:r>
            <w:bookmarkStart w:id="3" w:name="_Hlk142487410"/>
            <w:r>
              <w:rPr>
                <w:rFonts w:hint="eastAsia" w:ascii="Times New Roman" w:hAnsi="Times New Roman"/>
                <w:color w:val="000000" w:themeColor="text1"/>
                <w:sz w:val="24"/>
                <w:highlight w:val="none"/>
                <w:lang w:eastAsia="zh-CN"/>
                <w14:textFill>
                  <w14:solidFill>
                    <w14:schemeClr w14:val="tx1"/>
                  </w14:solidFill>
                </w14:textFill>
              </w:rPr>
              <w:t>北京神州瑞霖环境技术研究院有限公司</w:t>
            </w:r>
            <w:bookmarkEnd w:id="3"/>
            <w:r>
              <w:rPr>
                <w:rFonts w:hint="eastAsia" w:ascii="Times New Roman" w:hAnsi="Times New Roman"/>
                <w:color w:val="000000" w:themeColor="text1"/>
                <w:sz w:val="24"/>
                <w:highlight w:val="none"/>
                <w:lang w:eastAsia="zh-CN"/>
                <w14:textFill>
                  <w14:solidFill>
                    <w14:schemeClr w14:val="tx1"/>
                  </w14:solidFill>
                </w14:textFill>
              </w:rPr>
              <w:t>编制完成《</w:t>
            </w:r>
            <w:bookmarkStart w:id="4" w:name="_Hlk142487388"/>
            <w:r>
              <w:rPr>
                <w:rFonts w:hint="eastAsia" w:ascii="Times New Roman" w:hAnsi="Times New Roman"/>
                <w:color w:val="000000" w:themeColor="text1"/>
                <w:sz w:val="24"/>
                <w:highlight w:val="none"/>
                <w:lang w:eastAsia="zh-CN"/>
                <w14:textFill>
                  <w14:solidFill>
                    <w14:schemeClr w14:val="tx1"/>
                  </w14:solidFill>
                </w14:textFill>
              </w:rPr>
              <w:t>承德森禧木业有限公司</w:t>
            </w:r>
            <w:bookmarkStart w:id="5" w:name="_Hlk142487061"/>
            <w:r>
              <w:rPr>
                <w:rFonts w:hint="eastAsia" w:ascii="Times New Roman" w:hAnsi="Times New Roman"/>
                <w:color w:val="000000" w:themeColor="text1"/>
                <w:sz w:val="24"/>
                <w:highlight w:val="none"/>
                <w:lang w:eastAsia="zh-CN"/>
                <w14:textFill>
                  <w14:solidFill>
                    <w14:schemeClr w14:val="tx1"/>
                  </w14:solidFill>
                </w14:textFill>
              </w:rPr>
              <w:t>京津冀生态板材产业园项目</w:t>
            </w:r>
            <w:bookmarkEnd w:id="5"/>
            <w:r>
              <w:rPr>
                <w:rFonts w:hint="eastAsia" w:ascii="Times New Roman" w:hAnsi="Times New Roman"/>
                <w:color w:val="000000" w:themeColor="text1"/>
                <w:sz w:val="24"/>
                <w:highlight w:val="none"/>
                <w:lang w:eastAsia="zh-CN"/>
                <w14:textFill>
                  <w14:solidFill>
                    <w14:schemeClr w14:val="tx1"/>
                  </w14:solidFill>
                </w14:textFill>
              </w:rPr>
              <w:t>环境影响报告书</w:t>
            </w:r>
            <w:bookmarkEnd w:id="4"/>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该报告书</w:t>
            </w:r>
            <w:r>
              <w:rPr>
                <w:rFonts w:hint="eastAsia" w:ascii="Times New Roman" w:hAnsi="Times New Roman"/>
                <w:color w:val="000000" w:themeColor="text1"/>
                <w:sz w:val="24"/>
                <w:highlight w:val="none"/>
                <w:lang w:eastAsia="zh-CN"/>
                <w14:textFill>
                  <w14:solidFill>
                    <w14:schemeClr w14:val="tx1"/>
                  </w14:solidFill>
                </w14:textFill>
              </w:rPr>
              <w:t>于</w:t>
            </w:r>
            <w:bookmarkStart w:id="6" w:name="_Hlk142487512"/>
            <w:bookmarkStart w:id="7" w:name="_Hlk143005782"/>
            <w:r>
              <w:rPr>
                <w:rFonts w:hint="eastAsia" w:ascii="Times New Roman" w:hAnsi="Times New Roman"/>
                <w:color w:val="000000" w:themeColor="text1"/>
                <w:sz w:val="24"/>
                <w:highlight w:val="none"/>
                <w:lang w:eastAsia="zh-CN"/>
                <w14:textFill>
                  <w14:solidFill>
                    <w14:schemeClr w14:val="tx1"/>
                  </w14:solidFill>
                </w14:textFill>
              </w:rPr>
              <w:t>2020年10月14日</w:t>
            </w:r>
            <w:bookmarkEnd w:id="6"/>
            <w:r>
              <w:rPr>
                <w:rFonts w:hint="eastAsia" w:ascii="Times New Roman" w:hAnsi="Times New Roman"/>
                <w:color w:val="000000" w:themeColor="text1"/>
                <w:sz w:val="24"/>
                <w:highlight w:val="none"/>
                <w:lang w:eastAsia="zh-CN"/>
                <w14:textFill>
                  <w14:solidFill>
                    <w14:schemeClr w14:val="tx1"/>
                  </w14:solidFill>
                </w14:textFill>
              </w:rPr>
              <w:t>取得承德市生态环境局围场满族蒙古族自治县分局“</w:t>
            </w:r>
            <w:bookmarkStart w:id="8" w:name="_Hlk142487444"/>
            <w:r>
              <w:rPr>
                <w:rFonts w:hint="eastAsia" w:ascii="Times New Roman" w:hAnsi="Times New Roman"/>
                <w:color w:val="000000" w:themeColor="text1"/>
                <w:sz w:val="24"/>
                <w:highlight w:val="none"/>
                <w:lang w:eastAsia="zh-CN"/>
                <w14:textFill>
                  <w14:solidFill>
                    <w14:schemeClr w14:val="tx1"/>
                  </w14:solidFill>
                </w14:textFill>
              </w:rPr>
              <w:t>关于</w:t>
            </w:r>
            <w:bookmarkStart w:id="9" w:name="_Hlk143700955"/>
            <w:r>
              <w:rPr>
                <w:rFonts w:hint="eastAsia" w:ascii="Times New Roman" w:hAnsi="Times New Roman"/>
                <w:color w:val="000000" w:themeColor="text1"/>
                <w:sz w:val="24"/>
                <w:highlight w:val="none"/>
                <w:lang w:eastAsia="zh-CN"/>
                <w14:textFill>
                  <w14:solidFill>
                    <w14:schemeClr w14:val="tx1"/>
                  </w14:solidFill>
                </w14:textFill>
              </w:rPr>
              <w:t>《承德森禧木业有限公司京津冀生态板材产业园项目环境影响报告书》</w:t>
            </w:r>
            <w:bookmarkEnd w:id="9"/>
            <w:r>
              <w:rPr>
                <w:rFonts w:hint="eastAsia" w:ascii="Times New Roman" w:hAnsi="Times New Roman"/>
                <w:color w:val="000000" w:themeColor="text1"/>
                <w:sz w:val="24"/>
                <w:highlight w:val="none"/>
                <w:lang w:eastAsia="zh-CN"/>
                <w14:textFill>
                  <w14:solidFill>
                    <w14:schemeClr w14:val="tx1"/>
                  </w14:solidFill>
                </w14:textFill>
              </w:rPr>
              <w:t>的批复</w:t>
            </w:r>
            <w:bookmarkEnd w:id="8"/>
            <w:r>
              <w:rPr>
                <w:rFonts w:hint="eastAsia" w:ascii="Times New Roman" w:hAnsi="Times New Roman"/>
                <w:color w:val="000000" w:themeColor="text1"/>
                <w:sz w:val="24"/>
                <w:highlight w:val="none"/>
                <w:lang w:eastAsia="zh-CN"/>
                <w14:textFill>
                  <w14:solidFill>
                    <w14:schemeClr w14:val="tx1"/>
                  </w14:solidFill>
                </w14:textFill>
              </w:rPr>
              <w:t>”</w:t>
            </w:r>
            <w:bookmarkStart w:id="10" w:name="_Hlk142487490"/>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批复文号：</w:t>
            </w:r>
            <w:r>
              <w:rPr>
                <w:rFonts w:hint="eastAsia" w:ascii="Times New Roman" w:hAnsi="Times New Roman"/>
                <w:color w:val="000000" w:themeColor="text1"/>
                <w:sz w:val="24"/>
                <w:highlight w:val="none"/>
                <w:lang w:eastAsia="zh-CN"/>
                <w14:textFill>
                  <w14:solidFill>
                    <w14:schemeClr w14:val="tx1"/>
                  </w14:solidFill>
                </w14:textFill>
              </w:rPr>
              <w:t>围环评[2020]5号</w:t>
            </w:r>
            <w:bookmarkEnd w:id="10"/>
            <w:r>
              <w:rPr>
                <w:rFonts w:hint="eastAsia" w:ascii="Times New Roman" w:hAnsi="Times New Roman"/>
                <w:color w:val="000000" w:themeColor="text1"/>
                <w:sz w:val="24"/>
                <w:highlight w:val="none"/>
                <w:lang w:eastAsia="zh-CN"/>
                <w14:textFill>
                  <w14:solidFill>
                    <w14:schemeClr w14:val="tx1"/>
                  </w14:solidFill>
                </w14:textFill>
              </w:rPr>
              <w:t>。</w:t>
            </w:r>
            <w:bookmarkEnd w:id="2"/>
            <w:bookmarkEnd w:id="7"/>
          </w:p>
          <w:p>
            <w:pPr>
              <w:snapToGrid w:val="0"/>
              <w:spacing w:line="360" w:lineRule="auto"/>
              <w:ind w:firstLine="480" w:firstLineChars="200"/>
              <w:rPr>
                <w:rFonts w:hint="default" w:ascii="Times New Roman" w:hAnsi="Times New Roman"/>
                <w:color w:val="000000" w:themeColor="text1"/>
                <w:sz w:val="24"/>
                <w:highlight w:val="none"/>
                <w:lang w:val="en-US" w:eastAsia="zh-CN"/>
                <w14:textFill>
                  <w14:solidFill>
                    <w14:schemeClr w14:val="tx1"/>
                  </w14:solidFill>
                </w14:textFill>
              </w:rPr>
            </w:pPr>
            <w:r>
              <w:rPr>
                <w:rFonts w:hint="eastAsia" w:ascii="Times New Roman" w:hAnsi="Times New Roman"/>
                <w:color w:val="000000" w:themeColor="text1"/>
                <w:sz w:val="24"/>
                <w:highlight w:val="none"/>
                <w:lang w:eastAsia="zh-CN"/>
                <w14:textFill>
                  <w14:solidFill>
                    <w14:schemeClr w14:val="tx1"/>
                  </w14:solidFill>
                </w14:textFill>
              </w:rPr>
              <w:t>承德森禧木业有限公司</w:t>
            </w:r>
            <w:r>
              <w:rPr>
                <w:rFonts w:hint="eastAsia" w:ascii="Times New Roman" w:hAnsi="Times New Roman"/>
                <w:color w:val="000000" w:themeColor="text1"/>
                <w:sz w:val="24"/>
                <w:highlight w:val="none"/>
                <w:lang w:val="en-US" w:eastAsia="zh-CN"/>
                <w14:textFill>
                  <w14:solidFill>
                    <w14:schemeClr w14:val="tx1"/>
                  </w14:solidFill>
                </w14:textFill>
              </w:rPr>
              <w:t>京津冀生态板材产业园项目</w:t>
            </w:r>
            <w:r>
              <w:rPr>
                <w:rFonts w:hint="eastAsia" w:ascii="Times New Roman" w:hAnsi="Times New Roman"/>
                <w:color w:val="000000" w:themeColor="text1"/>
                <w:sz w:val="24"/>
                <w:highlight w:val="none"/>
                <w:lang w:eastAsia="zh-CN"/>
                <w14:textFill>
                  <w14:solidFill>
                    <w14:schemeClr w14:val="tx1"/>
                  </w14:solidFill>
                </w14:textFill>
              </w:rPr>
              <w:t>总用地面积16.51公顷（248亩），总建筑面积75479平方米，主要建设超强刨花板连续平压生产线。产品主要工艺为利用围场及周边地区小径材、间伐材、木芯、板皮、枝丫材等丰富的原材料，采用剥皮、刨片、干燥、施胶、定向铺装、板坯增湿、热压、内部质量探测、自动仓储等技术生产低游离甲醛释放和无醛刨花板。</w:t>
            </w:r>
            <w:r>
              <w:rPr>
                <w:rFonts w:hint="eastAsia" w:ascii="Times New Roman" w:hAnsi="Times New Roman"/>
                <w:color w:val="000000" w:themeColor="text1"/>
                <w:sz w:val="24"/>
                <w:highlight w:val="none"/>
                <w:lang w:val="en-US" w:eastAsia="zh-CN"/>
                <w14:textFill>
                  <w14:solidFill>
                    <w14:schemeClr w14:val="tx1"/>
                  </w14:solidFill>
                </w14:textFill>
              </w:rPr>
              <w:t>该项目目前已建设完成。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olor w:val="000000" w:themeColor="text1"/>
                <w:sz w:val="24"/>
                <w:highlight w:val="none"/>
                <w:lang w:eastAsia="zh-CN"/>
                <w14:textFill>
                  <w14:solidFill>
                    <w14:schemeClr w14:val="tx1"/>
                  </w14:solidFill>
                </w14:textFill>
              </w:rPr>
            </w:pPr>
            <w:bookmarkStart w:id="11" w:name="_Hlk143699704"/>
            <w:r>
              <w:rPr>
                <w:rFonts w:hint="eastAsia" w:ascii="Times New Roman" w:hAnsi="Times New Roman"/>
                <w:color w:val="000000" w:themeColor="text1"/>
                <w:sz w:val="24"/>
                <w:highlight w:val="none"/>
                <w:lang w:eastAsia="zh-CN"/>
                <w14:textFill>
                  <w14:solidFill>
                    <w14:schemeClr w14:val="tx1"/>
                  </w14:solidFill>
                </w14:textFill>
              </w:rPr>
              <w:t>2022年3月15日</w:t>
            </w:r>
            <w:r>
              <w:rPr>
                <w:rFonts w:hint="eastAsia" w:ascii="Times New Roman" w:hAnsi="Times New Roman"/>
                <w:color w:val="000000" w:themeColor="text1"/>
                <w:sz w:val="24"/>
                <w:highlight w:val="none"/>
                <w:lang w:val="en-US" w:eastAsia="zh-CN"/>
                <w14:textFill>
                  <w14:solidFill>
                    <w14:schemeClr w14:val="tx1"/>
                  </w14:solidFill>
                </w14:textFill>
              </w:rPr>
              <w:t>企业</w:t>
            </w:r>
            <w:r>
              <w:rPr>
                <w:rFonts w:hint="eastAsia" w:ascii="Times New Roman" w:hAnsi="Times New Roman"/>
                <w:color w:val="000000" w:themeColor="text1"/>
                <w:sz w:val="24"/>
                <w:highlight w:val="none"/>
                <w:lang w:eastAsia="zh-CN"/>
                <w14:textFill>
                  <w14:solidFill>
                    <w14:schemeClr w14:val="tx1"/>
                  </w14:solidFill>
                </w14:textFill>
              </w:rPr>
              <w:t>取得承德市行政审批局颁发的排污许可证，证书编号：</w:t>
            </w:r>
            <w:bookmarkStart w:id="12" w:name="_Hlk142487610"/>
            <w:r>
              <w:rPr>
                <w:rFonts w:hint="eastAsia" w:ascii="Times New Roman" w:hAnsi="Times New Roman"/>
                <w:color w:val="000000" w:themeColor="text1"/>
                <w:sz w:val="24"/>
                <w:highlight w:val="none"/>
                <w:lang w:eastAsia="zh-CN"/>
                <w14:textFill>
                  <w14:solidFill>
                    <w14:schemeClr w14:val="tx1"/>
                  </w14:solidFill>
                </w14:textFill>
              </w:rPr>
              <w:t>91130828MA0EC4H55Q001V</w:t>
            </w:r>
            <w:bookmarkEnd w:id="12"/>
            <w:r>
              <w:rPr>
                <w:rFonts w:hint="eastAsia" w:ascii="Times New Roman" w:hAnsi="Times New Roman"/>
                <w:color w:val="000000" w:themeColor="text1"/>
                <w:sz w:val="24"/>
                <w:highlight w:val="none"/>
                <w:lang w:eastAsia="zh-CN"/>
                <w14:textFill>
                  <w14:solidFill>
                    <w14:schemeClr w14:val="tx1"/>
                  </w14:solidFill>
                </w14:textFill>
              </w:rPr>
              <w:t>，有效期：自2022年03月15日至2027年03月14日止。</w:t>
            </w:r>
            <w:bookmarkEnd w:id="1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olor w:val="000000" w:themeColor="text1"/>
                <w:sz w:val="24"/>
                <w:highlight w:val="none"/>
                <w:lang w:val="en-US" w:eastAsia="zh-CN"/>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2023年企业为响应国家节能减排号召，同时也为了保证在后期生产过程中NOx的排放能够满足污染物排放标准要求，企业决定建设SNCR脱硝设备一套，对45MW生物质锅炉进行SNCR脱硝处理。根据《建设项目环境影响评价分类管理名录（2021年版）》四十七、生态环境治理业-100脱硫、脱硝、除尘、VOCs治理等大气污染治理工程，新建脱硝设备应进行登记管理，2023年7月17日，企业完成新建脱硝设备环境影响登记备案，备案号：202313082800000157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2023年根据《承德森禧木业有限公司京津冀生态板材产业园项目环境影响报告书》及《《排污许可证申请与核发技术规范 人造板工业（HJ 1032-2019）》相关要求，企业完成烟气在线监测系统的建设并实现联网。</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《承德森禧木业有限公司京津冀生态板材产业园项目环境影响报告书》污染物排放标准中热能中心排放的颗粒物、SO</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NOx执行《锅炉大气污染物排放标准》（DB13/5161-2020）表1中燃生物质成型燃料锅炉≥20t/h（14MW）排放限值”。2023年8月9日，承德市生态环境局围场满族蒙古族自治县分局出具“关于承德森禧木业有限公司45MW热能中心干燥尾气脱硝工程环境影响评价执行标准的函”（围环评函[2023]17号），确定热能中心干燥尾气颗粒物、二氧化硫、氮氧化物排放执行《大气污染物综合排放标准》 (GB16297-1996)表2新污染源大气污染物排放限值。</w:t>
            </w:r>
          </w:p>
          <w:p>
            <w:pPr>
              <w:snapToGri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根据承德市生态环境局、承德市发展改革委员会、承德市工业和信息化局、承德市财政局、承德市行政审批局关于印发《承德市工业炉窑综合治理实施方案的通知》（承环办[2020]72号，2020年4月22日），暂未制定行业排放标准的工业炉窑，全面加大污染治理力度，“原则上颗粒物、二氧化硫、氮氧化物排放限值分别不高于30、200、300毫克/立方米”。为满足管理要求，本项目将《大气污染物综合排放标准》 (GB16297-1996)及《承德市工业炉窑综合治理实施方案》综合取严后执行，取严后本项目排放的颗粒物、SO</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、NOx执行的排放限值为30mg/m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、200</w:t>
            </w:r>
            <w:r>
              <w:rPr>
                <w:rFonts w:hint="default" w:ascii="Times New Roman" w:hAnsi="Times New Roman" w:cs="Times New Roman"/>
                <w:color w:val="000000" w:themeColor="text1"/>
                <w:sz w:val="24"/>
                <w:highlight w:val="none"/>
                <w:lang w:val="en-US" w:eastAsia="zh-CN"/>
                <w14:textFill>
                  <w14:solidFill>
                    <w14:schemeClr w14:val="tx1"/>
                  </w14:solidFill>
                </w14:textFill>
              </w:rPr>
              <w:t>mg/m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、240</w:t>
            </w:r>
            <w:r>
              <w:rPr>
                <w:rFonts w:hint="default" w:ascii="Times New Roman" w:hAnsi="Times New Roman" w:cs="Times New Roman"/>
                <w:color w:val="000000" w:themeColor="text1"/>
                <w:sz w:val="24"/>
                <w:highlight w:val="none"/>
                <w:lang w:val="en-US" w:eastAsia="zh-CN"/>
                <w14:textFill>
                  <w14:solidFill>
                    <w14:schemeClr w14:val="tx1"/>
                  </w14:solidFill>
                </w14:textFill>
              </w:rPr>
              <w:t>mg/m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pPr>
              <w:snapToGrid w:val="0"/>
              <w:spacing w:line="360" w:lineRule="auto"/>
              <w:ind w:firstLine="480" w:firstLineChars="200"/>
              <w:rPr>
                <w:rFonts w:hint="default" w:ascii="Times New Roman" w:hAnsi="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现有工程生产生活所需热量均由热能中心45MW锅炉提供，伴随试生产运行发现，由于项目生产生活用热量随季节变化，冬季用热量较夏季明显增大，冬季燃料使用量较多。热能中心现有鼓风机2台，分为一次鼓风机和二次鼓风机，一次鼓风机鼓风量为5万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/h，二次鼓风机鼓风量为5.2万m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h。经过查找，现有鼓风设备不能满足45MW锅炉冬季鼓风量需求，致使热能中心45MW锅炉的冬季负压较大，供热量不够，不能满足生产需求。经计算，45MW锅炉不新增燃料燃烧量的情况下，将当下热能中心一次鼓风机的风量50000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/h升级改造为75000m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/h，可以有效减少冬季负压产生。据此，企业决定对锅炉鼓风系统进行改造，将一次鼓风机风量升级为75000m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/h，提升风机出入口管道高度，更换电缆、更换鼓风机电机，将现有</w:t>
            </w:r>
            <w:r>
              <w:rPr>
                <w:rFonts w:hint="eastAsia" w:ascii="Times New Roman" w:hAnsi="Times New Roman"/>
                <w:color w:val="000000" w:themeColor="text1"/>
                <w:sz w:val="24"/>
                <w:highlight w:val="none"/>
                <w:lang w:val="en-US" w:eastAsia="zh-CN"/>
                <w14:textFill>
                  <w14:solidFill>
                    <w14:schemeClr w14:val="tx1"/>
                  </w14:solidFill>
                </w14:textFill>
              </w:rPr>
              <w:t>45m高排气筒加高至55m，以满足企业生产需求。</w:t>
            </w:r>
          </w:p>
          <w:p>
            <w:pPr>
              <w:snapToGrid w:val="0"/>
              <w:spacing w:line="360" w:lineRule="auto"/>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highlight w:val="none"/>
                <w14:textFill>
                  <w14:solidFill>
                    <w14:schemeClr w14:val="tx1"/>
                  </w14:solidFill>
                </w14:textFill>
              </w:rPr>
              <w:t>、主要</w:t>
            </w:r>
            <w:r>
              <w:rPr>
                <w:rFonts w:ascii="Times New Roman" w:hAnsi="Times New Roman" w:eastAsia="宋体" w:cs="Times New Roman"/>
                <w:b/>
                <w:color w:val="000000" w:themeColor="text1"/>
                <w:sz w:val="24"/>
                <w:highlight w:val="none"/>
                <w14:textFill>
                  <w14:solidFill>
                    <w14:schemeClr w14:val="tx1"/>
                  </w14:solidFill>
                </w14:textFill>
              </w:rPr>
              <w:t>建设内容</w:t>
            </w:r>
          </w:p>
          <w:p>
            <w:pPr>
              <w:snapToGrid w:val="0"/>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主要对热能中心</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大气污染物排放标准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进行变更，同时对热能中心</w:t>
            </w:r>
            <w:r>
              <w:rPr>
                <w:rFonts w:hint="eastAsia" w:ascii="Times New Roman" w:hAnsi="Times New Roman"/>
                <w:color w:val="000000" w:themeColor="text1"/>
                <w:sz w:val="24"/>
                <w:highlight w:val="none"/>
                <w:lang w:val="en-US" w:eastAsia="zh-CN"/>
                <w14:textFill>
                  <w14:solidFill>
                    <w14:schemeClr w14:val="tx1"/>
                  </w14:solidFill>
                </w14:textFill>
              </w:rPr>
              <w:t>锅炉鼓风系统进行改造，提升风机出入口管道高度，更换电缆、更换鼓风机电机，将一次鼓风机风量升级为75000m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/h。锅炉产生的烟气经烟气净化器处理后，作为洁净烟气用于干燥湿刨花，最终干燥机尾气经旋风除尘器和湿式静电除尘系统处理后通过1根55m高排气筒（3#排气筒）排放。</w:t>
            </w:r>
            <w:r>
              <w:rPr>
                <w:rFonts w:hint="eastAsia" w:ascii="Times New Roman" w:hAnsi="Times New Roman" w:eastAsia="宋体" w:cs="Times New Roman"/>
                <w:color w:val="000000" w:themeColor="text1"/>
                <w:sz w:val="24"/>
                <w:highlight w:val="none"/>
                <w14:textFill>
                  <w14:solidFill>
                    <w14:schemeClr w14:val="tx1"/>
                  </w14:solidFill>
                </w14:textFill>
              </w:rPr>
              <w:t>主要建设内容见下表。</w:t>
            </w:r>
          </w:p>
          <w:p>
            <w:pPr>
              <w:numPr>
                <w:ilvl w:val="0"/>
                <w:numId w:val="6"/>
              </w:numPr>
              <w:snapToGrid w:val="0"/>
              <w:jc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主要建设内容一览表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883"/>
              <w:gridCol w:w="5746"/>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Align w:val="center"/>
                </w:tcPr>
                <w:p>
                  <w:pPr>
                    <w:pStyle w:val="49"/>
                    <w:spacing w:line="240" w:lineRule="auto"/>
                    <w:rPr>
                      <w:rFonts w:eastAsiaTheme="minorEastAsia"/>
                      <w:b/>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工程类型</w:t>
                  </w:r>
                </w:p>
              </w:tc>
              <w:tc>
                <w:tcPr>
                  <w:tcW w:w="885" w:type="dxa"/>
                  <w:vAlign w:val="center"/>
                </w:tcPr>
                <w:p>
                  <w:pPr>
                    <w:pStyle w:val="49"/>
                    <w:spacing w:line="240" w:lineRule="auto"/>
                    <w:rPr>
                      <w:rFonts w:eastAsiaTheme="minorEastAsia"/>
                      <w:b/>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名称</w:t>
                  </w:r>
                </w:p>
              </w:tc>
              <w:tc>
                <w:tcPr>
                  <w:tcW w:w="5760" w:type="dxa"/>
                  <w:vAlign w:val="center"/>
                </w:tcPr>
                <w:p>
                  <w:pPr>
                    <w:pStyle w:val="49"/>
                    <w:spacing w:line="240" w:lineRule="auto"/>
                    <w:rPr>
                      <w:b/>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建设内容</w:t>
                  </w:r>
                </w:p>
              </w:tc>
              <w:tc>
                <w:tcPr>
                  <w:tcW w:w="694" w:type="dxa"/>
                  <w:vAlign w:val="center"/>
                </w:tcPr>
                <w:p>
                  <w:pPr>
                    <w:pStyle w:val="75"/>
                    <w:spacing w:line="240" w:lineRule="auto"/>
                    <w:ind w:firstLine="0" w:firstLineChars="0"/>
                    <w:jc w:val="center"/>
                    <w:rPr>
                      <w:rFonts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主体工程</w:t>
                  </w:r>
                </w:p>
              </w:tc>
              <w:tc>
                <w:tcPr>
                  <w:tcW w:w="885" w:type="dxa"/>
                  <w:vAlign w:val="center"/>
                </w:tcPr>
                <w:p>
                  <w:pPr>
                    <w:widowControl/>
                    <w:jc w:val="center"/>
                    <w:rPr>
                      <w:rFonts w:hint="eastAsia"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热能中心</w:t>
                  </w:r>
                </w:p>
              </w:tc>
              <w:tc>
                <w:tcPr>
                  <w:tcW w:w="5760" w:type="dxa"/>
                  <w:vAlign w:val="center"/>
                </w:tcPr>
                <w:p>
                  <w:pPr>
                    <w:jc w:val="center"/>
                    <w:rPr>
                      <w:rFonts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利用原有45MW热能中心</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进行改造</w:t>
                  </w:r>
                  <w:r>
                    <w:rPr>
                      <w:rFonts w:hint="eastAsia" w:ascii="Times New Roman" w:hAnsi="Times New Roman" w:cs="Times New Roman"/>
                      <w:bCs/>
                      <w:color w:val="000000" w:themeColor="text1"/>
                      <w:spacing w:val="9"/>
                      <w:szCs w:val="21"/>
                      <w:highlight w:val="none"/>
                      <w14:textFill>
                        <w14:solidFill>
                          <w14:schemeClr w14:val="tx1"/>
                        </w14:solidFill>
                      </w14:textFill>
                    </w:rPr>
                    <w:t>，</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将锅炉产生的烟气经烟气净化器处理后，作为洁净烟气用于干燥湿刨花，改造工程还包括提升风机出入口管道高度，更换电缆、更换鼓风机电机，将一次鼓风机风量升级为75000m</w:t>
                  </w:r>
                  <w:r>
                    <w:rPr>
                      <w:rFonts w:hint="eastAsia" w:ascii="Times New Roman" w:hAnsi="Times New Roman" w:cs="Times New Roman"/>
                      <w:bCs/>
                      <w:color w:val="000000" w:themeColor="text1"/>
                      <w:spacing w:val="9"/>
                      <w:szCs w:val="21"/>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/h，将现有45m高排气筒加高至55m</w:t>
                  </w:r>
                </w:p>
              </w:tc>
              <w:tc>
                <w:tcPr>
                  <w:tcW w:w="694" w:type="dxa"/>
                  <w:vAlign w:val="center"/>
                </w:tcPr>
                <w:p>
                  <w:pPr>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Merge w:val="restart"/>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公用工程</w:t>
                  </w:r>
                </w:p>
              </w:tc>
              <w:tc>
                <w:tcPr>
                  <w:tcW w:w="885" w:type="dxa"/>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供水</w:t>
                  </w:r>
                </w:p>
              </w:tc>
              <w:tc>
                <w:tcPr>
                  <w:tcW w:w="5760" w:type="dxa"/>
                  <w:vAlign w:val="center"/>
                </w:tcPr>
                <w:p>
                  <w:pPr>
                    <w:jc w:val="center"/>
                    <w:rPr>
                      <w:rFonts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本项目不新增员工无生活用水增加，生产工序无需用水</w:t>
                  </w:r>
                </w:p>
              </w:tc>
              <w:tc>
                <w:tcPr>
                  <w:tcW w:w="694" w:type="dxa"/>
                  <w:vAlign w:val="center"/>
                </w:tcPr>
                <w:p>
                  <w:pPr>
                    <w:jc w:val="center"/>
                    <w:rPr>
                      <w:rFonts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Merge w:val="continue"/>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c>
                <w:tcPr>
                  <w:tcW w:w="885" w:type="dxa"/>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排水</w:t>
                  </w:r>
                </w:p>
              </w:tc>
              <w:tc>
                <w:tcPr>
                  <w:tcW w:w="5760" w:type="dxa"/>
                  <w:vAlign w:val="center"/>
                </w:tcPr>
                <w:p>
                  <w:pPr>
                    <w:jc w:val="center"/>
                    <w:rPr>
                      <w:rFonts w:hint="eastAsia" w:ascii="Times New Roman" w:hAnsi="Times New Roman" w:cs="Times New Roman" w:eastAsiaTheme="minorEastAsia"/>
                      <w:bCs/>
                      <w:color w:val="000000" w:themeColor="text1"/>
                      <w:spacing w:val="9"/>
                      <w:szCs w:val="21"/>
                      <w:highlight w:val="none"/>
                      <w:lang w:eastAsia="zh-CN"/>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无废水</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外排</w:t>
                  </w:r>
                </w:p>
              </w:tc>
              <w:tc>
                <w:tcPr>
                  <w:tcW w:w="694" w:type="dxa"/>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Merge w:val="continue"/>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c>
                <w:tcPr>
                  <w:tcW w:w="885" w:type="dxa"/>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供电</w:t>
                  </w:r>
                </w:p>
              </w:tc>
              <w:tc>
                <w:tcPr>
                  <w:tcW w:w="5760" w:type="dxa"/>
                  <w:vAlign w:val="center"/>
                </w:tcPr>
                <w:p>
                  <w:pPr>
                    <w:jc w:val="center"/>
                    <w:rPr>
                      <w:rFonts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由厂区现有供电系统供给</w:t>
                  </w:r>
                </w:p>
              </w:tc>
              <w:tc>
                <w:tcPr>
                  <w:tcW w:w="694" w:type="dxa"/>
                  <w:vAlign w:val="center"/>
                </w:tcPr>
                <w:p>
                  <w:pPr>
                    <w:jc w:val="center"/>
                    <w:rPr>
                      <w:rFonts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Merge w:val="restart"/>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环保工程</w:t>
                  </w:r>
                </w:p>
              </w:tc>
              <w:tc>
                <w:tcPr>
                  <w:tcW w:w="885" w:type="dxa"/>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废气</w:t>
                  </w:r>
                </w:p>
              </w:tc>
              <w:tc>
                <w:tcPr>
                  <w:tcW w:w="5760" w:type="dxa"/>
                  <w:vAlign w:val="center"/>
                </w:tcPr>
                <w:p>
                  <w:pPr>
                    <w:pStyle w:val="5"/>
                    <w:rPr>
                      <w:rFonts w:eastAsiaTheme="minorEastAsia"/>
                      <w:bCs/>
                      <w:color w:val="000000" w:themeColor="text1"/>
                      <w:spacing w:val="9"/>
                      <w:szCs w:val="21"/>
                      <w:highlight w:val="none"/>
                      <w14:textFill>
                        <w14:solidFill>
                          <w14:schemeClr w14:val="tx1"/>
                        </w14:solidFill>
                      </w14:textFill>
                    </w:rPr>
                  </w:pPr>
                  <w:r>
                    <w:rPr>
                      <w:rFonts w:hint="eastAsia" w:eastAsiaTheme="minorEastAsia"/>
                      <w:bCs/>
                      <w:color w:val="000000" w:themeColor="text1"/>
                      <w:spacing w:val="9"/>
                      <w:szCs w:val="21"/>
                      <w:highlight w:val="none"/>
                      <w:lang w:val="en-US" w:eastAsia="zh-CN"/>
                      <w14:textFill>
                        <w14:solidFill>
                          <w14:schemeClr w14:val="tx1"/>
                        </w14:solidFill>
                      </w14:textFill>
                    </w:rPr>
                    <w:t>热能中心产生</w:t>
                  </w:r>
                  <w:r>
                    <w:rPr>
                      <w:rFonts w:hint="eastAsia" w:eastAsiaTheme="minorEastAsia"/>
                      <w:bCs/>
                      <w:color w:val="000000" w:themeColor="text1"/>
                      <w:spacing w:val="9"/>
                      <w:szCs w:val="21"/>
                      <w:highlight w:val="none"/>
                      <w14:textFill>
                        <w14:solidFill>
                          <w14:schemeClr w14:val="tx1"/>
                        </w14:solidFill>
                      </w14:textFill>
                    </w:rPr>
                    <w:t>的高温烟气经</w:t>
                  </w:r>
                  <w:r>
                    <w:rPr>
                      <w:rFonts w:hint="eastAsia" w:eastAsiaTheme="minorEastAsia"/>
                      <w:bCs/>
                      <w:color w:val="000000" w:themeColor="text1"/>
                      <w:spacing w:val="9"/>
                      <w:szCs w:val="21"/>
                      <w:highlight w:val="none"/>
                      <w:lang w:val="en-US" w:eastAsia="zh-CN"/>
                      <w14:textFill>
                        <w14:solidFill>
                          <w14:schemeClr w14:val="tx1"/>
                        </w14:solidFill>
                      </w14:textFill>
                    </w:rPr>
                    <w:t>脱硝、</w:t>
                  </w:r>
                  <w:r>
                    <w:rPr>
                      <w:rFonts w:hint="eastAsia" w:eastAsiaTheme="minorEastAsia"/>
                      <w:bCs/>
                      <w:color w:val="000000" w:themeColor="text1"/>
                      <w:spacing w:val="9"/>
                      <w:szCs w:val="21"/>
                      <w:highlight w:val="none"/>
                      <w14:textFill>
                        <w14:solidFill>
                          <w14:schemeClr w14:val="tx1"/>
                        </w14:solidFill>
                      </w14:textFill>
                    </w:rPr>
                    <w:t>除尘后作为洁净烟气用于干燥，最终干燥机尾气经旋风除尘器和湿式静电除尘系统处理后通过1根</w:t>
                  </w:r>
                  <w:r>
                    <w:rPr>
                      <w:rFonts w:hint="eastAsia" w:eastAsiaTheme="minorEastAsia"/>
                      <w:bCs/>
                      <w:color w:val="000000" w:themeColor="text1"/>
                      <w:spacing w:val="9"/>
                      <w:szCs w:val="21"/>
                      <w:highlight w:val="none"/>
                      <w:lang w:val="en-US" w:eastAsia="zh-CN"/>
                      <w14:textFill>
                        <w14:solidFill>
                          <w14:schemeClr w14:val="tx1"/>
                        </w14:solidFill>
                      </w14:textFill>
                    </w:rPr>
                    <w:t>5</w:t>
                  </w:r>
                  <w:r>
                    <w:rPr>
                      <w:rFonts w:eastAsiaTheme="minorEastAsia"/>
                      <w:bCs/>
                      <w:color w:val="000000" w:themeColor="text1"/>
                      <w:spacing w:val="9"/>
                      <w:szCs w:val="21"/>
                      <w:highlight w:val="none"/>
                      <w14:textFill>
                        <w14:solidFill>
                          <w14:schemeClr w14:val="tx1"/>
                        </w14:solidFill>
                      </w14:textFill>
                    </w:rPr>
                    <w:t>5</w:t>
                  </w:r>
                  <w:r>
                    <w:rPr>
                      <w:rFonts w:hint="eastAsia" w:eastAsiaTheme="minorEastAsia"/>
                      <w:bCs/>
                      <w:color w:val="000000" w:themeColor="text1"/>
                      <w:spacing w:val="9"/>
                      <w:szCs w:val="21"/>
                      <w:highlight w:val="none"/>
                      <w14:textFill>
                        <w14:solidFill>
                          <w14:schemeClr w14:val="tx1"/>
                        </w14:solidFill>
                      </w14:textFill>
                    </w:rPr>
                    <w:t>m高排气筒（3#排气筒）排放</w:t>
                  </w:r>
                </w:p>
              </w:tc>
              <w:tc>
                <w:tcPr>
                  <w:tcW w:w="694" w:type="dxa"/>
                  <w:vAlign w:val="center"/>
                </w:tcPr>
                <w:p>
                  <w:pPr>
                    <w:jc w:val="center"/>
                    <w:rPr>
                      <w:rFonts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Merge w:val="continue"/>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c>
                <w:tcPr>
                  <w:tcW w:w="885" w:type="dxa"/>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废水</w:t>
                  </w:r>
                </w:p>
              </w:tc>
              <w:tc>
                <w:tcPr>
                  <w:tcW w:w="5760" w:type="dxa"/>
                  <w:vAlign w:val="center"/>
                </w:tcPr>
                <w:p>
                  <w:pPr>
                    <w:pStyle w:val="5"/>
                    <w:jc w:val="center"/>
                    <w:rPr>
                      <w:rFonts w:hint="eastAsia" w:eastAsia="宋体"/>
                      <w:bCs/>
                      <w:color w:val="000000" w:themeColor="text1"/>
                      <w:spacing w:val="9"/>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本项目无废水</w:t>
                  </w:r>
                  <w:r>
                    <w:rPr>
                      <w:rFonts w:hint="eastAsia"/>
                      <w:color w:val="000000" w:themeColor="text1"/>
                      <w:highlight w:val="none"/>
                      <w:lang w:val="en-US" w:eastAsia="zh-CN"/>
                      <w14:textFill>
                        <w14:solidFill>
                          <w14:schemeClr w14:val="tx1"/>
                        </w14:solidFill>
                      </w14:textFill>
                    </w:rPr>
                    <w:t>外排</w:t>
                  </w:r>
                </w:p>
              </w:tc>
              <w:tc>
                <w:tcPr>
                  <w:tcW w:w="694" w:type="dxa"/>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Merge w:val="continue"/>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c>
                <w:tcPr>
                  <w:tcW w:w="885" w:type="dxa"/>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噪声</w:t>
                  </w:r>
                </w:p>
              </w:tc>
              <w:tc>
                <w:tcPr>
                  <w:tcW w:w="5760" w:type="dxa"/>
                  <w:vAlign w:val="center"/>
                </w:tcPr>
                <w:p>
                  <w:pPr>
                    <w:jc w:val="center"/>
                    <w:rPr>
                      <w:rFonts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选用低噪声设备，采用基础减震、隔声等措施</w:t>
                  </w:r>
                </w:p>
              </w:tc>
              <w:tc>
                <w:tcPr>
                  <w:tcW w:w="694" w:type="dxa"/>
                  <w:vAlign w:val="center"/>
                </w:tcPr>
                <w:p>
                  <w:pPr>
                    <w:jc w:val="center"/>
                    <w:rPr>
                      <w:rFonts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 w:type="dxa"/>
                  <w:vMerge w:val="continue"/>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c>
                <w:tcPr>
                  <w:tcW w:w="885" w:type="dxa"/>
                  <w:vAlign w:val="center"/>
                </w:tcPr>
                <w:p>
                  <w:pPr>
                    <w:pStyle w:val="75"/>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固废</w:t>
                  </w:r>
                </w:p>
              </w:tc>
              <w:tc>
                <w:tcPr>
                  <w:tcW w:w="5760" w:type="dxa"/>
                  <w:vAlign w:val="center"/>
                </w:tcPr>
                <w:p>
                  <w:pPr>
                    <w:jc w:val="center"/>
                    <w:rPr>
                      <w:rFonts w:hint="eastAsia" w:ascii="Times New Roman" w:hAnsi="Times New Roman" w:cs="Times New Roman" w:eastAsiaTheme="minorEastAsia"/>
                      <w:bCs/>
                      <w:color w:val="000000" w:themeColor="text1"/>
                      <w:spacing w:val="9"/>
                      <w:szCs w:val="2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除尘灰</w:t>
                  </w:r>
                  <w:r>
                    <w:rPr>
                      <w:rFonts w:hint="eastAsia"/>
                      <w:color w:val="000000" w:themeColor="text1"/>
                      <w:highlight w:val="none"/>
                      <w14:textFill>
                        <w14:solidFill>
                          <w14:schemeClr w14:val="tx1"/>
                        </w14:solidFill>
                      </w14:textFill>
                    </w:rPr>
                    <w:t>送往热能中心作燃料</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热能中心炉渣运至有机肥厂作为原料使用</w:t>
                  </w:r>
                  <w:r>
                    <w:rPr>
                      <w:rFonts w:hint="eastAsia"/>
                      <w:color w:val="000000" w:themeColor="text1"/>
                      <w:highlight w:val="none"/>
                      <w:lang w:eastAsia="zh-CN"/>
                      <w14:textFill>
                        <w14:solidFill>
                          <w14:schemeClr w14:val="tx1"/>
                        </w14:solidFill>
                      </w14:textFill>
                    </w:rPr>
                    <w:t>。</w:t>
                  </w:r>
                </w:p>
              </w:tc>
              <w:tc>
                <w:tcPr>
                  <w:tcW w:w="694" w:type="dxa"/>
                  <w:vAlign w:val="center"/>
                </w:tcPr>
                <w:p>
                  <w:pPr>
                    <w:pStyle w:val="75"/>
                    <w:spacing w:line="240" w:lineRule="auto"/>
                    <w:ind w:firstLine="0" w:firstLineChars="0"/>
                    <w:jc w:val="center"/>
                    <w:rPr>
                      <w:rFonts w:hint="eastAsia" w:ascii="Times New Roman" w:hAnsi="Times New Roman" w:cs="Times New Roman" w:eastAsiaTheme="minorEastAsia"/>
                      <w:bCs/>
                      <w:color w:val="000000" w:themeColor="text1"/>
                      <w:spacing w:val="9"/>
                      <w:sz w:val="21"/>
                      <w:szCs w:val="21"/>
                      <w:highlight w:val="none"/>
                      <w:lang w:eastAsia="zh-CN"/>
                      <w14:textFill>
                        <w14:solidFill>
                          <w14:schemeClr w14:val="tx1"/>
                        </w14:solidFill>
                      </w14:textFill>
                    </w:rPr>
                  </w:pPr>
                  <w:r>
                    <w:rPr>
                      <w:rFonts w:hint="eastAsia" w:ascii="Times New Roman" w:hAnsi="Times New Roman" w:cs="Times New Roman"/>
                      <w:bCs/>
                      <w:color w:val="000000" w:themeColor="text1"/>
                      <w:spacing w:val="9"/>
                      <w:sz w:val="21"/>
                      <w:szCs w:val="21"/>
                      <w:highlight w:val="none"/>
                      <w:lang w:val="en-US" w:eastAsia="zh-CN"/>
                      <w14:textFill>
                        <w14:solidFill>
                          <w14:schemeClr w14:val="tx1"/>
                        </w14:solidFill>
                      </w14:textFill>
                    </w:rPr>
                    <w:t>依托</w:t>
                  </w:r>
                </w:p>
              </w:tc>
            </w:tr>
          </w:tbl>
          <w:p>
            <w:pPr>
              <w:adjustRightInd w:val="0"/>
              <w:snapToGrid w:val="0"/>
              <w:spacing w:before="156" w:beforeLines="50" w:line="360" w:lineRule="auto"/>
              <w:ind w:firstLine="482" w:firstLineChars="200"/>
              <w:rPr>
                <w:rFonts w:hint="eastAsia"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3</w:t>
            </w:r>
            <w:r>
              <w:rPr>
                <w:rFonts w:hint="eastAsia" w:ascii="Times New Roman" w:hAnsi="Times New Roman" w:cs="Times New Roman"/>
                <w:b/>
                <w:color w:val="000000" w:themeColor="text1"/>
                <w:sz w:val="24"/>
                <w:highlight w:val="none"/>
                <w14:textFill>
                  <w14:solidFill>
                    <w14:schemeClr w14:val="tx1"/>
                  </w14:solidFill>
                </w14:textFill>
              </w:rPr>
              <w:t>、</w:t>
            </w:r>
            <w:r>
              <w:rPr>
                <w:rFonts w:ascii="Times New Roman" w:hAnsi="Times New Roman" w:cs="Times New Roman"/>
                <w:b/>
                <w:color w:val="000000" w:themeColor="text1"/>
                <w:sz w:val="24"/>
                <w:highlight w:val="none"/>
                <w14:textFill>
                  <w14:solidFill>
                    <w14:schemeClr w14:val="tx1"/>
                  </w14:solidFill>
                </w14:textFill>
              </w:rPr>
              <w:t>原辅料及能源消耗</w:t>
            </w:r>
          </w:p>
          <w:p>
            <w:pPr>
              <w:adjustRightInd w:val="0"/>
              <w:snapToGrid w:val="0"/>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项目技改前</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后生产规模</w:t>
            </w:r>
            <w:r>
              <w:rPr>
                <w:rFonts w:hint="eastAsia" w:ascii="Times New Roman" w:hAnsi="Times New Roman" w:eastAsia="宋体" w:cs="Times New Roman"/>
                <w:color w:val="000000" w:themeColor="text1"/>
                <w:sz w:val="24"/>
                <w:highlight w:val="none"/>
                <w14:textFill>
                  <w14:solidFill>
                    <w14:schemeClr w14:val="tx1"/>
                  </w14:solidFill>
                </w14:textFill>
              </w:rPr>
              <w:t>不发生变化</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原辅材料及产品不发生变化</w:t>
            </w:r>
            <w:r>
              <w:rPr>
                <w:rFonts w:hint="eastAsia" w:ascii="Times New Roman" w:hAnsi="Times New Roman" w:eastAsia="宋体" w:cs="Times New Roman"/>
                <w:color w:val="000000" w:themeColor="text1"/>
                <w:sz w:val="24"/>
                <w:highlight w:val="none"/>
                <w14:textFill>
                  <w14:solidFill>
                    <w14:schemeClr w14:val="tx1"/>
                  </w14:solidFill>
                </w14:textFill>
              </w:rPr>
              <w:t>。</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全厂原辅材料及能源消耗情况见下表。</w:t>
            </w:r>
          </w:p>
          <w:p>
            <w:pPr>
              <w:numPr>
                <w:ilvl w:val="0"/>
                <w:numId w:val="6"/>
              </w:numPr>
              <w:adjustRightInd w:val="0"/>
              <w:snapToGrid w:val="0"/>
              <w:ind w:left="0" w:firstLine="0"/>
              <w:jc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主要原辅材料及能源消耗表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364"/>
              <w:gridCol w:w="930"/>
              <w:gridCol w:w="975"/>
              <w:gridCol w:w="1049"/>
              <w:gridCol w:w="1112"/>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restart"/>
                  <w:vAlign w:val="center"/>
                </w:tcPr>
                <w:p>
                  <w:pPr>
                    <w:pStyle w:val="17"/>
                    <w:jc w:val="center"/>
                    <w:rPr>
                      <w:rFonts w:hint="default" w:ascii="Times New Roman" w:hAnsi="Times New Roman"/>
                      <w:b/>
                      <w:color w:val="000000" w:themeColor="text1"/>
                      <w:sz w:val="21"/>
                      <w:szCs w:val="21"/>
                      <w:highlight w:val="none"/>
                      <w14:textFill>
                        <w14:solidFill>
                          <w14:schemeClr w14:val="tx1"/>
                        </w14:solidFill>
                      </w14:textFill>
                    </w:rPr>
                  </w:pPr>
                  <w:r>
                    <w:rPr>
                      <w:rFonts w:hint="default" w:ascii="Times New Roman" w:hAnsi="Times New Roman"/>
                      <w:b/>
                      <w:color w:val="000000" w:themeColor="text1"/>
                      <w:sz w:val="21"/>
                      <w:szCs w:val="21"/>
                      <w:highlight w:val="none"/>
                      <w:lang w:bidi="ar"/>
                      <w14:textFill>
                        <w14:solidFill>
                          <w14:schemeClr w14:val="tx1"/>
                        </w14:solidFill>
                      </w14:textFill>
                    </w:rPr>
                    <w:t>序号</w:t>
                  </w:r>
                </w:p>
              </w:tc>
              <w:tc>
                <w:tcPr>
                  <w:tcW w:w="827" w:type="pct"/>
                  <w:vMerge w:val="restart"/>
                  <w:vAlign w:val="center"/>
                </w:tcPr>
                <w:p>
                  <w:pPr>
                    <w:pStyle w:val="17"/>
                    <w:jc w:val="center"/>
                    <w:rPr>
                      <w:rFonts w:hint="default" w:ascii="Times New Roman" w:hAnsi="Times New Roman"/>
                      <w:b/>
                      <w:color w:val="000000" w:themeColor="text1"/>
                      <w:sz w:val="21"/>
                      <w:szCs w:val="21"/>
                      <w:highlight w:val="none"/>
                      <w14:textFill>
                        <w14:solidFill>
                          <w14:schemeClr w14:val="tx1"/>
                        </w14:solidFill>
                      </w14:textFill>
                    </w:rPr>
                  </w:pPr>
                  <w:r>
                    <w:rPr>
                      <w:rFonts w:hint="default" w:ascii="Times New Roman" w:hAnsi="Times New Roman"/>
                      <w:b/>
                      <w:color w:val="000000" w:themeColor="text1"/>
                      <w:sz w:val="21"/>
                      <w:szCs w:val="21"/>
                      <w:highlight w:val="none"/>
                      <w:lang w:bidi="ar"/>
                      <w14:textFill>
                        <w14:solidFill>
                          <w14:schemeClr w14:val="tx1"/>
                        </w14:solidFill>
                      </w14:textFill>
                    </w:rPr>
                    <w:t>名称</w:t>
                  </w:r>
                </w:p>
              </w:tc>
              <w:tc>
                <w:tcPr>
                  <w:tcW w:w="564" w:type="pct"/>
                  <w:vMerge w:val="restart"/>
                  <w:vAlign w:val="center"/>
                </w:tcPr>
                <w:p>
                  <w:pPr>
                    <w:pStyle w:val="17"/>
                    <w:jc w:val="center"/>
                    <w:rPr>
                      <w:rFonts w:hint="default" w:ascii="Times New Roman" w:hAnsi="Times New Roman"/>
                      <w:b/>
                      <w:color w:val="000000" w:themeColor="text1"/>
                      <w:sz w:val="21"/>
                      <w:szCs w:val="21"/>
                      <w:highlight w:val="none"/>
                      <w14:textFill>
                        <w14:solidFill>
                          <w14:schemeClr w14:val="tx1"/>
                        </w14:solidFill>
                      </w14:textFill>
                    </w:rPr>
                  </w:pPr>
                  <w:r>
                    <w:rPr>
                      <w:rFonts w:hint="default" w:ascii="Times New Roman" w:hAnsi="Times New Roman"/>
                      <w:b/>
                      <w:color w:val="000000" w:themeColor="text1"/>
                      <w:sz w:val="21"/>
                      <w:szCs w:val="21"/>
                      <w:highlight w:val="none"/>
                      <w:lang w:bidi="ar"/>
                      <w14:textFill>
                        <w14:solidFill>
                          <w14:schemeClr w14:val="tx1"/>
                        </w14:solidFill>
                      </w14:textFill>
                    </w:rPr>
                    <w:t>单位</w:t>
                  </w:r>
                </w:p>
              </w:tc>
              <w:tc>
                <w:tcPr>
                  <w:tcW w:w="1901" w:type="pct"/>
                  <w:gridSpan w:val="3"/>
                  <w:vAlign w:val="center"/>
                </w:tcPr>
                <w:p>
                  <w:pPr>
                    <w:pStyle w:val="17"/>
                    <w:jc w:val="center"/>
                    <w:rPr>
                      <w:rFonts w:hint="default" w:ascii="Times New Roman" w:hAnsi="Times New Roman"/>
                      <w:b/>
                      <w:color w:val="000000" w:themeColor="text1"/>
                      <w:sz w:val="21"/>
                      <w:szCs w:val="21"/>
                      <w:highlight w:val="none"/>
                      <w:lang w:bidi="ar"/>
                      <w14:textFill>
                        <w14:solidFill>
                          <w14:schemeClr w14:val="tx1"/>
                        </w14:solidFill>
                      </w14:textFill>
                    </w:rPr>
                  </w:pPr>
                  <w:r>
                    <w:rPr>
                      <w:rFonts w:ascii="Times New Roman" w:hAnsi="Times New Roman"/>
                      <w:b/>
                      <w:color w:val="000000" w:themeColor="text1"/>
                      <w:sz w:val="21"/>
                      <w:szCs w:val="21"/>
                      <w:highlight w:val="none"/>
                      <w:lang w:bidi="ar"/>
                      <w14:textFill>
                        <w14:solidFill>
                          <w14:schemeClr w14:val="tx1"/>
                        </w14:solidFill>
                      </w14:textFill>
                    </w:rPr>
                    <w:t>消耗</w:t>
                  </w:r>
                  <w:r>
                    <w:rPr>
                      <w:rFonts w:hint="default" w:ascii="Times New Roman" w:hAnsi="Times New Roman"/>
                      <w:b/>
                      <w:color w:val="000000" w:themeColor="text1"/>
                      <w:sz w:val="21"/>
                      <w:szCs w:val="21"/>
                      <w:highlight w:val="none"/>
                      <w:lang w:bidi="ar"/>
                      <w14:textFill>
                        <w14:solidFill>
                          <w14:schemeClr w14:val="tx1"/>
                        </w14:solidFill>
                      </w14:textFill>
                    </w:rPr>
                    <w:t>量</w:t>
                  </w:r>
                </w:p>
              </w:tc>
              <w:tc>
                <w:tcPr>
                  <w:tcW w:w="1242" w:type="pct"/>
                  <w:vMerge w:val="restart"/>
                  <w:vAlign w:val="center"/>
                </w:tcPr>
                <w:p>
                  <w:pPr>
                    <w:pStyle w:val="17"/>
                    <w:jc w:val="center"/>
                    <w:rPr>
                      <w:rFonts w:hint="default" w:ascii="Times New Roman" w:hAnsi="Times New Roman"/>
                      <w:b/>
                      <w:color w:val="000000" w:themeColor="text1"/>
                      <w:sz w:val="21"/>
                      <w:szCs w:val="21"/>
                      <w:highlight w:val="none"/>
                      <w14:textFill>
                        <w14:solidFill>
                          <w14:schemeClr w14:val="tx1"/>
                        </w14:solidFill>
                      </w14:textFill>
                    </w:rPr>
                  </w:pPr>
                  <w:r>
                    <w:rPr>
                      <w:rFonts w:hint="default" w:ascii="Times New Roman" w:hAnsi="Times New Roman"/>
                      <w:b/>
                      <w:color w:val="000000" w:themeColor="text1"/>
                      <w:sz w:val="21"/>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continue"/>
                  <w:vAlign w:val="center"/>
                </w:tcPr>
                <w:p>
                  <w:pPr>
                    <w:pStyle w:val="17"/>
                    <w:jc w:val="center"/>
                    <w:rPr>
                      <w:rFonts w:hint="default"/>
                      <w:color w:val="000000" w:themeColor="text1"/>
                      <w:highlight w:val="none"/>
                      <w14:textFill>
                        <w14:solidFill>
                          <w14:schemeClr w14:val="tx1"/>
                        </w14:solidFill>
                      </w14:textFill>
                    </w:rPr>
                  </w:pPr>
                </w:p>
              </w:tc>
              <w:tc>
                <w:tcPr>
                  <w:tcW w:w="827" w:type="pct"/>
                  <w:vMerge w:val="continue"/>
                  <w:vAlign w:val="center"/>
                </w:tcPr>
                <w:p>
                  <w:pPr>
                    <w:pStyle w:val="17"/>
                    <w:jc w:val="center"/>
                    <w:rPr>
                      <w:rFonts w:hint="default"/>
                      <w:color w:val="000000" w:themeColor="text1"/>
                      <w:highlight w:val="none"/>
                      <w14:textFill>
                        <w14:solidFill>
                          <w14:schemeClr w14:val="tx1"/>
                        </w14:solidFill>
                      </w14:textFill>
                    </w:rPr>
                  </w:pPr>
                </w:p>
              </w:tc>
              <w:tc>
                <w:tcPr>
                  <w:tcW w:w="564" w:type="pct"/>
                  <w:vMerge w:val="continue"/>
                  <w:vAlign w:val="center"/>
                </w:tcPr>
                <w:p>
                  <w:pPr>
                    <w:pStyle w:val="17"/>
                    <w:jc w:val="center"/>
                    <w:rPr>
                      <w:rFonts w:hint="default"/>
                      <w:color w:val="000000" w:themeColor="text1"/>
                      <w:highlight w:val="none"/>
                      <w14:textFill>
                        <w14:solidFill>
                          <w14:schemeClr w14:val="tx1"/>
                        </w14:solidFill>
                      </w14:textFill>
                    </w:rPr>
                  </w:pPr>
                </w:p>
              </w:tc>
              <w:tc>
                <w:tcPr>
                  <w:tcW w:w="591" w:type="pct"/>
                  <w:vAlign w:val="center"/>
                </w:tcPr>
                <w:p>
                  <w:pPr>
                    <w:snapToGrid w:val="0"/>
                    <w:spacing w:line="240" w:lineRule="atLeast"/>
                    <w:jc w:val="center"/>
                    <w:rPr>
                      <w:color w:val="000000" w:themeColor="text1"/>
                      <w:highlight w:val="none"/>
                      <w14:textFill>
                        <w14:solidFill>
                          <w14:schemeClr w14:val="tx1"/>
                        </w14:solidFill>
                      </w14:textFill>
                    </w:rPr>
                  </w:pPr>
                  <w:r>
                    <w:rPr>
                      <w:rFonts w:hint="eastAsia" w:ascii="Times New Roman" w:hAnsi="Times New Roman"/>
                      <w:b/>
                      <w:color w:val="000000" w:themeColor="text1"/>
                      <w:szCs w:val="21"/>
                      <w:highlight w:val="none"/>
                      <w14:textFill>
                        <w14:solidFill>
                          <w14:schemeClr w14:val="tx1"/>
                        </w14:solidFill>
                      </w14:textFill>
                    </w:rPr>
                    <w:t>技改前</w:t>
                  </w:r>
                </w:p>
              </w:tc>
              <w:tc>
                <w:tcPr>
                  <w:tcW w:w="636" w:type="pct"/>
                  <w:vAlign w:val="center"/>
                </w:tcPr>
                <w:p>
                  <w:pPr>
                    <w:snapToGrid w:val="0"/>
                    <w:spacing w:line="240" w:lineRule="atLeast"/>
                    <w:jc w:val="center"/>
                    <w:rPr>
                      <w:color w:val="000000" w:themeColor="text1"/>
                      <w:highlight w:val="none"/>
                      <w14:textFill>
                        <w14:solidFill>
                          <w14:schemeClr w14:val="tx1"/>
                        </w14:solidFill>
                      </w14:textFill>
                    </w:rPr>
                  </w:pPr>
                  <w:r>
                    <w:rPr>
                      <w:rFonts w:hint="eastAsia" w:ascii="Times New Roman" w:hAnsi="Times New Roman"/>
                      <w:b/>
                      <w:color w:val="000000" w:themeColor="text1"/>
                      <w:szCs w:val="21"/>
                      <w:highlight w:val="none"/>
                      <w14:textFill>
                        <w14:solidFill>
                          <w14:schemeClr w14:val="tx1"/>
                        </w14:solidFill>
                      </w14:textFill>
                    </w:rPr>
                    <w:t>技改后</w:t>
                  </w:r>
                </w:p>
              </w:tc>
              <w:tc>
                <w:tcPr>
                  <w:tcW w:w="673" w:type="pct"/>
                  <w:vAlign w:val="center"/>
                </w:tcPr>
                <w:p>
                  <w:pPr>
                    <w:snapToGrid w:val="0"/>
                    <w:spacing w:line="240" w:lineRule="atLeast"/>
                    <w:jc w:val="center"/>
                    <w:rPr>
                      <w:color w:val="000000" w:themeColor="text1"/>
                      <w:highlight w:val="none"/>
                      <w14:textFill>
                        <w14:solidFill>
                          <w14:schemeClr w14:val="tx1"/>
                        </w14:solidFill>
                      </w14:textFill>
                    </w:rPr>
                  </w:pPr>
                  <w:r>
                    <w:rPr>
                      <w:rFonts w:hint="eastAsia" w:ascii="Times New Roman" w:hAnsi="Times New Roman"/>
                      <w:b/>
                      <w:color w:val="000000" w:themeColor="text1"/>
                      <w:szCs w:val="21"/>
                      <w:highlight w:val="none"/>
                      <w14:textFill>
                        <w14:solidFill>
                          <w14:schemeClr w14:val="tx1"/>
                        </w14:solidFill>
                      </w14:textFill>
                    </w:rPr>
                    <w:t>变化情况</w:t>
                  </w:r>
                </w:p>
              </w:tc>
              <w:tc>
                <w:tcPr>
                  <w:tcW w:w="1242" w:type="pct"/>
                  <w:vMerge w:val="continue"/>
                  <w:vAlign w:val="center"/>
                </w:tcPr>
                <w:p>
                  <w:pPr>
                    <w:pStyle w:val="17"/>
                    <w:jc w:val="center"/>
                    <w:rPr>
                      <w:rFonts w:hint="default"/>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olor w:val="000000" w:themeColor="text1"/>
                      <w:sz w:val="21"/>
                      <w:szCs w:val="21"/>
                      <w:highlight w:val="none"/>
                      <w:lang w:bidi="ar"/>
                      <w14:textFill>
                        <w14:solidFill>
                          <w14:schemeClr w14:val="tx1"/>
                        </w14:solidFill>
                      </w14:textFill>
                    </w:rPr>
                    <w:t>1</w:t>
                  </w:r>
                </w:p>
              </w:tc>
              <w:tc>
                <w:tcPr>
                  <w:tcW w:w="827" w:type="pct"/>
                  <w:vAlign w:val="center"/>
                </w:tcPr>
                <w:p>
                  <w:pPr>
                    <w:widowControl w:val="0"/>
                    <w:spacing w:line="0" w:lineRule="atLeast"/>
                    <w:ind w:firstLine="0" w:firstLineChars="0"/>
                    <w:jc w:val="center"/>
                    <w:rPr>
                      <w:rFonts w:ascii="Times New Roman" w:hAnsi="Times New Roman"/>
                      <w:color w:val="000000" w:themeColor="text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木材</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万t/a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32.4</w:t>
                  </w:r>
                </w:p>
              </w:tc>
              <w:tc>
                <w:tcPr>
                  <w:tcW w:w="636" w:type="pct"/>
                  <w:vAlign w:val="center"/>
                </w:tcPr>
                <w:p>
                  <w:pPr>
                    <w:widowControl w:val="0"/>
                    <w:spacing w:line="0" w:lineRule="atLeast"/>
                    <w:ind w:firstLine="0" w:firstLineChars="0"/>
                    <w:jc w:val="center"/>
                    <w:rPr>
                      <w:rFonts w:ascii="Times New Roman" w:hAnsi="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32.4</w:t>
                  </w:r>
                </w:p>
              </w:tc>
              <w:tc>
                <w:tcPr>
                  <w:tcW w:w="673" w:type="pct"/>
                  <w:vAlign w:val="center"/>
                </w:tcPr>
                <w:p>
                  <w:pPr>
                    <w:jc w:val="center"/>
                    <w:rPr>
                      <w:rFonts w:hint="eastAsia" w:ascii="Times New Roman" w:hAnsi="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含水率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lang w:bidi="ar"/>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2</w:t>
                  </w:r>
                </w:p>
              </w:tc>
              <w:tc>
                <w:tcPr>
                  <w:tcW w:w="827" w:type="pct"/>
                  <w:vAlign w:val="center"/>
                </w:tcPr>
                <w:p>
                  <w:pPr>
                    <w:widowControl w:val="0"/>
                    <w:spacing w:line="0" w:lineRule="atLeast"/>
                    <w:ind w:firstLine="0" w:firstLineChars="0"/>
                    <w:jc w:val="center"/>
                    <w:rPr>
                      <w:rFonts w:ascii="Times New Roman" w:hAnsi="Times New Roman"/>
                      <w:color w:val="000000" w:themeColor="text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锯屑</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万t/a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3.6</w:t>
                  </w:r>
                </w:p>
              </w:tc>
              <w:tc>
                <w:tcPr>
                  <w:tcW w:w="636" w:type="pct"/>
                  <w:vAlign w:val="center"/>
                </w:tcPr>
                <w:p>
                  <w:pPr>
                    <w:widowControl w:val="0"/>
                    <w:spacing w:line="0" w:lineRule="atLeast"/>
                    <w:ind w:firstLine="0" w:firstLineChars="0"/>
                    <w:jc w:val="center"/>
                    <w:rPr>
                      <w:rFonts w:ascii="Times New Roman" w:hAnsi="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3.6</w:t>
                  </w:r>
                </w:p>
              </w:tc>
              <w:tc>
                <w:tcPr>
                  <w:tcW w:w="673" w:type="pct"/>
                  <w:vAlign w:val="center"/>
                </w:tcPr>
                <w:p>
                  <w:pPr>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含水率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3</w:t>
                  </w:r>
                </w:p>
              </w:tc>
              <w:tc>
                <w:tcPr>
                  <w:tcW w:w="827" w:type="pct"/>
                  <w:vAlign w:val="center"/>
                </w:tcPr>
                <w:p>
                  <w:pPr>
                    <w:widowControl w:val="0"/>
                    <w:spacing w:line="0" w:lineRule="atLeast"/>
                    <w:ind w:firstLine="0" w:firstLineChars="0"/>
                    <w:jc w:val="center"/>
                    <w:rPr>
                      <w:rFonts w:ascii="Times New Roman" w:hAnsi="Times New Roman"/>
                      <w:color w:val="000000" w:themeColor="text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甲醛</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15480</w:t>
                  </w:r>
                </w:p>
              </w:tc>
              <w:tc>
                <w:tcPr>
                  <w:tcW w:w="636" w:type="pct"/>
                  <w:vAlign w:val="center"/>
                </w:tcPr>
                <w:p>
                  <w:pPr>
                    <w:widowControl w:val="0"/>
                    <w:spacing w:line="0" w:lineRule="atLeast"/>
                    <w:ind w:firstLine="0" w:firstLineChars="0"/>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15480</w:t>
                  </w:r>
                </w:p>
              </w:tc>
              <w:tc>
                <w:tcPr>
                  <w:tcW w:w="673" w:type="pct"/>
                  <w:vAlign w:val="center"/>
                </w:tcPr>
                <w:p>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含量45%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4</w:t>
                  </w:r>
                </w:p>
              </w:tc>
              <w:tc>
                <w:tcPr>
                  <w:tcW w:w="827" w:type="pct"/>
                  <w:vAlign w:val="center"/>
                </w:tcPr>
                <w:p>
                  <w:pPr>
                    <w:widowControl w:val="0"/>
                    <w:spacing w:line="0" w:lineRule="atLeast"/>
                    <w:ind w:firstLine="0" w:firstLineChars="0"/>
                    <w:jc w:val="center"/>
                    <w:rPr>
                      <w:rFonts w:ascii="Times New Roman" w:hAnsi="Times New Roman"/>
                      <w:color w:val="000000" w:themeColor="text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尿素</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12840</w:t>
                  </w:r>
                </w:p>
              </w:tc>
              <w:tc>
                <w:tcPr>
                  <w:tcW w:w="636" w:type="pct"/>
                  <w:vAlign w:val="center"/>
                </w:tcPr>
                <w:p>
                  <w:pPr>
                    <w:widowControl w:val="0"/>
                    <w:spacing w:line="0" w:lineRule="atLeast"/>
                    <w:ind w:firstLine="0" w:firstLineChars="0"/>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12840</w:t>
                  </w:r>
                </w:p>
              </w:tc>
              <w:tc>
                <w:tcPr>
                  <w:tcW w:w="673" w:type="pct"/>
                  <w:vAlign w:val="center"/>
                </w:tcPr>
                <w:p>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含量98%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5</w:t>
                  </w:r>
                </w:p>
              </w:tc>
              <w:tc>
                <w:tcPr>
                  <w:tcW w:w="827"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烧碱</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7.2</w:t>
                  </w:r>
                </w:p>
              </w:tc>
              <w:tc>
                <w:tcPr>
                  <w:tcW w:w="636"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7.2</w:t>
                  </w:r>
                </w:p>
              </w:tc>
              <w:tc>
                <w:tcPr>
                  <w:tcW w:w="673" w:type="pct"/>
                  <w:vAlign w:val="center"/>
                </w:tcPr>
                <w:p>
                  <w:pPr>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外购袋装固态片碱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6</w:t>
                  </w:r>
                </w:p>
              </w:tc>
              <w:tc>
                <w:tcPr>
                  <w:tcW w:w="827"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甲酸</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4.8</w:t>
                  </w:r>
                </w:p>
              </w:tc>
              <w:tc>
                <w:tcPr>
                  <w:tcW w:w="636"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4.8</w:t>
                  </w:r>
                </w:p>
              </w:tc>
              <w:tc>
                <w:tcPr>
                  <w:tcW w:w="673" w:type="pct"/>
                  <w:vAlign w:val="center"/>
                </w:tcPr>
                <w:p>
                  <w:pPr>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7</w:t>
                  </w:r>
                </w:p>
              </w:tc>
              <w:tc>
                <w:tcPr>
                  <w:tcW w:w="827"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硫酸铵</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264</w:t>
                  </w:r>
                </w:p>
              </w:tc>
              <w:tc>
                <w:tcPr>
                  <w:tcW w:w="636"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264</w:t>
                  </w:r>
                </w:p>
              </w:tc>
              <w:tc>
                <w:tcPr>
                  <w:tcW w:w="673" w:type="pct"/>
                  <w:vAlign w:val="center"/>
                </w:tcPr>
                <w:p>
                  <w:pPr>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8</w:t>
                  </w:r>
                </w:p>
              </w:tc>
              <w:tc>
                <w:tcPr>
                  <w:tcW w:w="827"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石蜡</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930</w:t>
                  </w:r>
                </w:p>
              </w:tc>
              <w:tc>
                <w:tcPr>
                  <w:tcW w:w="636"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930</w:t>
                  </w:r>
                </w:p>
              </w:tc>
              <w:tc>
                <w:tcPr>
                  <w:tcW w:w="673" w:type="pct"/>
                  <w:vAlign w:val="center"/>
                </w:tcPr>
                <w:p>
                  <w:pPr>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9</w:t>
                  </w:r>
                </w:p>
              </w:tc>
              <w:tc>
                <w:tcPr>
                  <w:tcW w:w="827"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氨水</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w:t>
                  </w:r>
                </w:p>
              </w:tc>
              <w:tc>
                <w:tcPr>
                  <w:tcW w:w="636" w:type="pct"/>
                  <w:vAlign w:val="center"/>
                </w:tcPr>
                <w:p>
                  <w:pPr>
                    <w:widowControl w:val="0"/>
                    <w:spacing w:line="0" w:lineRule="atLeast"/>
                    <w:ind w:firstLine="0" w:firstLineChars="0"/>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w:t>
                  </w:r>
                </w:p>
              </w:tc>
              <w:tc>
                <w:tcPr>
                  <w:tcW w:w="673" w:type="pct"/>
                  <w:vAlign w:val="center"/>
                </w:tcPr>
                <w:p>
                  <w:pPr>
                    <w:jc w:val="center"/>
                    <w:rPr>
                      <w:rFonts w:hint="default" w:ascii="Times New Roman" w:hAnsi="Times New Roman"/>
                      <w:color w:val="000000" w:themeColor="text1"/>
                      <w:sz w:val="21"/>
                      <w:szCs w:val="21"/>
                      <w:highlight w:val="none"/>
                      <w:lang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10</w:t>
                  </w:r>
                </w:p>
              </w:tc>
              <w:tc>
                <w:tcPr>
                  <w:tcW w:w="827" w:type="pct"/>
                  <w:vAlign w:val="center"/>
                </w:tcPr>
                <w:p>
                  <w:pPr>
                    <w:widowControl w:val="0"/>
                    <w:spacing w:line="0" w:lineRule="atLeast"/>
                    <w:ind w:firstLine="0" w:firstLineChars="0"/>
                    <w:jc w:val="center"/>
                    <w:rPr>
                      <w:rFonts w:ascii="Times New Roman" w:hAnsi="Times New Roman"/>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脱模剂</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w:t>
                  </w:r>
                </w:p>
              </w:tc>
              <w:tc>
                <w:tcPr>
                  <w:tcW w:w="636" w:type="pct"/>
                  <w:vAlign w:val="center"/>
                </w:tcPr>
                <w:p>
                  <w:pPr>
                    <w:widowControl w:val="0"/>
                    <w:spacing w:line="0" w:lineRule="atLeast"/>
                    <w:ind w:firstLine="0" w:firstLineChars="0"/>
                    <w:jc w:val="center"/>
                    <w:rPr>
                      <w:rFonts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w:t>
                  </w:r>
                </w:p>
              </w:tc>
              <w:tc>
                <w:tcPr>
                  <w:tcW w:w="673" w:type="pct"/>
                  <w:vAlign w:val="center"/>
                </w:tcPr>
                <w:p>
                  <w:pPr>
                    <w:jc w:val="center"/>
                    <w:rPr>
                      <w:rFonts w:ascii="Times New Roman" w:hAnsi="Times New Roman"/>
                      <w:color w:val="000000" w:themeColor="text1"/>
                      <w:sz w:val="21"/>
                      <w:szCs w:val="21"/>
                      <w:highlight w:val="none"/>
                      <w:lang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含3%损耗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11</w:t>
                  </w:r>
                </w:p>
              </w:tc>
              <w:tc>
                <w:tcPr>
                  <w:tcW w:w="827" w:type="pct"/>
                  <w:vAlign w:val="center"/>
                </w:tcPr>
                <w:p>
                  <w:pPr>
                    <w:widowControl w:val="0"/>
                    <w:spacing w:line="0" w:lineRule="atLeast"/>
                    <w:ind w:firstLine="0" w:firstLineChars="0"/>
                    <w:jc w:val="center"/>
                    <w:rPr>
                      <w:rFonts w:ascii="Times New Roman" w:hAnsi="Times New Roman"/>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润滑油</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w:t>
                  </w:r>
                </w:p>
              </w:tc>
              <w:tc>
                <w:tcPr>
                  <w:tcW w:w="636" w:type="pct"/>
                  <w:vAlign w:val="center"/>
                </w:tcPr>
                <w:p>
                  <w:pPr>
                    <w:widowControl w:val="0"/>
                    <w:spacing w:line="0" w:lineRule="atLeast"/>
                    <w:ind w:firstLine="0" w:firstLineChars="0"/>
                    <w:jc w:val="center"/>
                    <w:rPr>
                      <w:rFonts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w:t>
                  </w:r>
                </w:p>
              </w:tc>
              <w:tc>
                <w:tcPr>
                  <w:tcW w:w="673" w:type="pct"/>
                  <w:vAlign w:val="center"/>
                </w:tcPr>
                <w:p>
                  <w:pPr>
                    <w:jc w:val="center"/>
                    <w:rPr>
                      <w:rFonts w:ascii="Times New Roman" w:hAnsi="Times New Roman"/>
                      <w:color w:val="000000" w:themeColor="text1"/>
                      <w:sz w:val="21"/>
                      <w:szCs w:val="21"/>
                      <w:highlight w:val="none"/>
                      <w:lang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用于机械润滑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12</w:t>
                  </w:r>
                </w:p>
              </w:tc>
              <w:tc>
                <w:tcPr>
                  <w:tcW w:w="827" w:type="pct"/>
                  <w:vAlign w:val="center"/>
                </w:tcPr>
                <w:p>
                  <w:pPr>
                    <w:widowControl w:val="0"/>
                    <w:spacing w:line="0" w:lineRule="atLeast"/>
                    <w:ind w:firstLine="0" w:firstLineChars="0"/>
                    <w:jc w:val="center"/>
                    <w:rPr>
                      <w:rFonts w:ascii="Times New Roman" w:hAnsi="Times New Roman"/>
                      <w:color w:val="000000" w:themeColor="text1"/>
                      <w:sz w:val="21"/>
                      <w:szCs w:val="21"/>
                      <w:highlight w:val="none"/>
                      <w:lang w:bidi="ar"/>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用热量</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GJ/h</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126</w:t>
                  </w:r>
                </w:p>
              </w:tc>
              <w:tc>
                <w:tcPr>
                  <w:tcW w:w="636" w:type="pct"/>
                  <w:vAlign w:val="center"/>
                </w:tcPr>
                <w:p>
                  <w:pPr>
                    <w:widowControl w:val="0"/>
                    <w:spacing w:line="0" w:lineRule="atLeast"/>
                    <w:ind w:firstLine="0" w:firstLineChars="0"/>
                    <w:jc w:val="center"/>
                    <w:rPr>
                      <w:rFonts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126</w:t>
                  </w:r>
                </w:p>
              </w:tc>
              <w:tc>
                <w:tcPr>
                  <w:tcW w:w="673" w:type="pct"/>
                  <w:vAlign w:val="center"/>
                </w:tcPr>
                <w:p>
                  <w:pPr>
                    <w:jc w:val="center"/>
                    <w:rPr>
                      <w:rFonts w:ascii="Times New Roman" w:hAnsi="Times New Roman"/>
                      <w:color w:val="000000" w:themeColor="text1"/>
                      <w:sz w:val="21"/>
                      <w:szCs w:val="21"/>
                      <w:highlight w:val="none"/>
                      <w:lang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含5%损耗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13</w:t>
                  </w:r>
                </w:p>
              </w:tc>
              <w:tc>
                <w:tcPr>
                  <w:tcW w:w="827" w:type="pct"/>
                  <w:vAlign w:val="center"/>
                </w:tcPr>
                <w:p>
                  <w:pPr>
                    <w:widowControl w:val="0"/>
                    <w:spacing w:line="0" w:lineRule="atLeast"/>
                    <w:ind w:firstLine="0" w:firstLineChars="0"/>
                    <w:jc w:val="center"/>
                    <w:rPr>
                      <w:rFonts w:ascii="Times New Roman" w:hAnsi="Times New Roman"/>
                      <w:color w:val="000000" w:themeColor="text1"/>
                      <w:sz w:val="21"/>
                      <w:szCs w:val="21"/>
                      <w:highlight w:val="none"/>
                      <w:lang w:bidi="ar"/>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生产用水量</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/a</w:t>
                  </w:r>
                </w:p>
              </w:tc>
              <w:tc>
                <w:tcPr>
                  <w:tcW w:w="591"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3320</w:t>
                  </w:r>
                </w:p>
              </w:tc>
              <w:tc>
                <w:tcPr>
                  <w:tcW w:w="636" w:type="pct"/>
                  <w:vAlign w:val="center"/>
                </w:tcPr>
                <w:p>
                  <w:pPr>
                    <w:widowControl w:val="0"/>
                    <w:spacing w:line="0" w:lineRule="atLeast"/>
                    <w:ind w:firstLine="0" w:firstLineChars="0"/>
                    <w:jc w:val="center"/>
                    <w:rPr>
                      <w:rFonts w:ascii="Times New Roman" w:hAnsi="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3320</w:t>
                  </w:r>
                </w:p>
              </w:tc>
              <w:tc>
                <w:tcPr>
                  <w:tcW w:w="673" w:type="pct"/>
                  <w:vAlign w:val="center"/>
                </w:tcPr>
                <w:p>
                  <w:pPr>
                    <w:jc w:val="center"/>
                    <w:rPr>
                      <w:rFonts w:hint="default" w:ascii="Times New Roman" w:hAnsi="Times New Roman"/>
                      <w:color w:val="000000" w:themeColor="text1"/>
                      <w:sz w:val="21"/>
                      <w:szCs w:val="21"/>
                      <w:highlight w:val="none"/>
                      <w:lang w:val="en-US" w:bidi="ar"/>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w:t>
                  </w:r>
                </w:p>
              </w:tc>
              <w:tc>
                <w:tcPr>
                  <w:tcW w:w="1242" w:type="pct"/>
                  <w:vAlign w:val="center"/>
                </w:tcPr>
                <w:p>
                  <w:pPr>
                    <w:widowControl w:val="0"/>
                    <w:spacing w:line="0" w:lineRule="atLeast"/>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17"/>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14</w:t>
                  </w:r>
                </w:p>
              </w:tc>
              <w:tc>
                <w:tcPr>
                  <w:tcW w:w="827" w:type="pct"/>
                  <w:vAlign w:val="center"/>
                </w:tcPr>
                <w:p>
                  <w:pPr>
                    <w:widowControl w:val="0"/>
                    <w:spacing w:line="0" w:lineRule="atLeast"/>
                    <w:ind w:firstLine="0" w:firstLineChars="0"/>
                    <w:jc w:val="center"/>
                    <w:rPr>
                      <w:rFonts w:hint="eastAsia"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电</w:t>
                  </w:r>
                </w:p>
              </w:tc>
              <w:tc>
                <w:tcPr>
                  <w:tcW w:w="564" w:type="pct"/>
                  <w:vAlign w:val="center"/>
                </w:tcPr>
                <w:p>
                  <w:pPr>
                    <w:widowControl w:val="0"/>
                    <w:spacing w:line="0" w:lineRule="atLeast"/>
                    <w:ind w:firstLine="0" w:firstLineChar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olor w:val="000000" w:themeColor="text1"/>
                      <w:sz w:val="21"/>
                      <w:szCs w:val="21"/>
                      <w:highlight w:val="none"/>
                      <w:lang w:bidi="ar"/>
                      <w14:textFill>
                        <w14:solidFill>
                          <w14:schemeClr w14:val="tx1"/>
                        </w14:solidFill>
                      </w14:textFill>
                    </w:rPr>
                    <w:t>kW·h/a</w:t>
                  </w:r>
                </w:p>
              </w:tc>
              <w:tc>
                <w:tcPr>
                  <w:tcW w:w="591" w:type="pct"/>
                  <w:vAlign w:val="center"/>
                </w:tcPr>
                <w:p>
                  <w:pPr>
                    <w:widowControl w:val="0"/>
                    <w:spacing w:line="0" w:lineRule="atLeast"/>
                    <w:ind w:firstLine="0" w:firstLine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49722960</w:t>
                  </w:r>
                </w:p>
              </w:tc>
              <w:tc>
                <w:tcPr>
                  <w:tcW w:w="636" w:type="pct"/>
                  <w:vAlign w:val="center"/>
                </w:tcPr>
                <w:p>
                  <w:pPr>
                    <w:widowControl w:val="0"/>
                    <w:spacing w:line="0" w:lineRule="atLeast"/>
                    <w:ind w:firstLine="0" w:firstLine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49959210</w:t>
                  </w:r>
                </w:p>
              </w:tc>
              <w:tc>
                <w:tcPr>
                  <w:tcW w:w="673" w:type="pct"/>
                  <w:vAlign w:val="center"/>
                </w:tcPr>
                <w:p>
                  <w:pPr>
                    <w:jc w:val="center"/>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+236250</w:t>
                  </w:r>
                </w:p>
              </w:tc>
              <w:tc>
                <w:tcPr>
                  <w:tcW w:w="1242" w:type="pct"/>
                  <w:vAlign w:val="center"/>
                </w:tcPr>
                <w:p>
                  <w:pPr>
                    <w:widowControl w:val="0"/>
                    <w:spacing w:line="0" w:lineRule="atLeast"/>
                    <w:ind w:firstLine="0" w:firstLineChars="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bl>
          <w:p>
            <w:pPr>
              <w:spacing w:before="156" w:beforeLines="50"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highlight w:val="none"/>
                <w14:textFill>
                  <w14:solidFill>
                    <w14:schemeClr w14:val="tx1"/>
                  </w14:solidFill>
                </w14:textFill>
              </w:rPr>
              <w:t>、主要生产设施及设施参数</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本项目主要设备如下</w:t>
            </w:r>
            <w:r>
              <w:rPr>
                <w:color w:val="000000" w:themeColor="text1"/>
                <w:sz w:val="24"/>
                <w:highlight w:val="none"/>
                <w14:textFill>
                  <w14:solidFill>
                    <w14:schemeClr w14:val="tx1"/>
                  </w14:solidFill>
                </w14:textFill>
              </w:rPr>
              <w:t>。</w:t>
            </w:r>
          </w:p>
          <w:p>
            <w:pPr>
              <w:numPr>
                <w:ilvl w:val="0"/>
                <w:numId w:val="6"/>
              </w:numPr>
              <w:adjustRightInd w:val="0"/>
              <w:snapToGrid w:val="0"/>
              <w:spacing w:line="360" w:lineRule="auto"/>
              <w:ind w:left="0" w:firstLine="0"/>
              <w:jc w:val="center"/>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14:textFill>
                  <w14:solidFill>
                    <w14:schemeClr w14:val="tx1"/>
                  </w14:solidFill>
                </w14:textFill>
              </w:rPr>
              <w:t>主要生产设施及设施参数一览表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082"/>
              <w:gridCol w:w="1524"/>
              <w:gridCol w:w="1925"/>
              <w:gridCol w:w="779"/>
              <w:gridCol w:w="647"/>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33" w:type="pc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主要生产单元</w:t>
                  </w:r>
                </w:p>
              </w:tc>
              <w:tc>
                <w:tcPr>
                  <w:tcW w:w="656"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主要工艺</w:t>
                  </w:r>
                </w:p>
              </w:tc>
              <w:tc>
                <w:tcPr>
                  <w:tcW w:w="924"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生产设施</w:t>
                  </w:r>
                </w:p>
              </w:tc>
              <w:tc>
                <w:tcPr>
                  <w:tcW w:w="1167"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设施参数</w:t>
                  </w:r>
                </w:p>
              </w:tc>
              <w:tc>
                <w:tcPr>
                  <w:tcW w:w="472"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数量</w:t>
                  </w:r>
                </w:p>
              </w:tc>
              <w:tc>
                <w:tcPr>
                  <w:tcW w:w="392"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单位</w:t>
                  </w:r>
                </w:p>
              </w:tc>
              <w:tc>
                <w:tcPr>
                  <w:tcW w:w="453" w:type="pct"/>
                  <w:vAlign w:val="center"/>
                </w:tcPr>
                <w:p>
                  <w:pPr>
                    <w:adjustRightInd w:val="0"/>
                    <w:snapToGrid w:val="0"/>
                    <w:jc w:val="center"/>
                    <w:rPr>
                      <w:rFonts w:hint="eastAsia"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restart"/>
                  <w:vAlign w:val="center"/>
                </w:tcPr>
                <w:p>
                  <w:pPr>
                    <w:adjustRightInd w:val="0"/>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公用工程</w:t>
                  </w:r>
                </w:p>
              </w:tc>
              <w:tc>
                <w:tcPr>
                  <w:tcW w:w="656" w:type="pct"/>
                  <w:vMerge w:val="restart"/>
                  <w:vAlign w:val="center"/>
                </w:tcPr>
                <w:p>
                  <w:pPr>
                    <w:adjustRightInd w:val="0"/>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供热系统</w:t>
                  </w:r>
                </w:p>
              </w:tc>
              <w:tc>
                <w:tcPr>
                  <w:tcW w:w="924" w:type="pct"/>
                  <w:vAlign w:val="center"/>
                </w:tcPr>
                <w:p>
                  <w:pPr>
                    <w:jc w:val="center"/>
                    <w:rPr>
                      <w:rFonts w:hint="eastAsia"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热能中心</w:t>
                  </w:r>
                </w:p>
              </w:tc>
              <w:tc>
                <w:tcPr>
                  <w:tcW w:w="1167"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45MW生物质锅炉</w:t>
                  </w:r>
                </w:p>
              </w:tc>
              <w:tc>
                <w:tcPr>
                  <w:tcW w:w="472"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392"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台</w:t>
                  </w:r>
                </w:p>
              </w:tc>
              <w:tc>
                <w:tcPr>
                  <w:tcW w:w="453"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vAlign w:val="center"/>
                </w:tcPr>
                <w:p>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656" w:type="pct"/>
                  <w:vMerge w:val="continue"/>
                  <w:vAlign w:val="center"/>
                </w:tcPr>
                <w:p>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924" w:type="pct"/>
                  <w:vAlign w:val="center"/>
                </w:tcPr>
                <w:p>
                  <w:pPr>
                    <w:jc w:val="center"/>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引风机</w:t>
                  </w:r>
                </w:p>
              </w:tc>
              <w:tc>
                <w:tcPr>
                  <w:tcW w:w="1167" w:type="pct"/>
                  <w:vAlign w:val="center"/>
                </w:tcPr>
                <w:p>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25万m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lang w:val="en-US" w:eastAsia="zh-CN"/>
                      <w14:textFill>
                        <w14:solidFill>
                          <w14:schemeClr w14:val="tx1"/>
                        </w14:solidFill>
                      </w14:textFill>
                    </w:rPr>
                    <w:t>/h</w:t>
                  </w:r>
                </w:p>
              </w:tc>
              <w:tc>
                <w:tcPr>
                  <w:tcW w:w="472" w:type="pct"/>
                  <w:vAlign w:val="center"/>
                </w:tcPr>
                <w:p>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392" w:type="pct"/>
                  <w:vAlign w:val="center"/>
                </w:tcPr>
                <w:p>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台</w:t>
                  </w:r>
                </w:p>
              </w:tc>
              <w:tc>
                <w:tcPr>
                  <w:tcW w:w="453"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vAlign w:val="center"/>
                </w:tcPr>
                <w:p>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656" w:type="pct"/>
                  <w:vMerge w:val="continue"/>
                  <w:vAlign w:val="center"/>
                </w:tcPr>
                <w:p>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924" w:type="pct"/>
                  <w:vAlign w:val="center"/>
                </w:tcPr>
                <w:p>
                  <w:pPr>
                    <w:jc w:val="center"/>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离心通风机</w:t>
                  </w:r>
                </w:p>
              </w:tc>
              <w:tc>
                <w:tcPr>
                  <w:tcW w:w="1167" w:type="pct"/>
                  <w:vAlign w:val="top"/>
                </w:tcPr>
                <w:p>
                  <w:pPr>
                    <w:pStyle w:val="4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130</w:t>
                  </w:r>
                </w:p>
              </w:tc>
              <w:tc>
                <w:tcPr>
                  <w:tcW w:w="472"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392"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台</w:t>
                  </w:r>
                </w:p>
              </w:tc>
              <w:tc>
                <w:tcPr>
                  <w:tcW w:w="453"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vAlign w:val="center"/>
                </w:tcPr>
                <w:p>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656" w:type="pct"/>
                  <w:vMerge w:val="continue"/>
                  <w:vAlign w:val="center"/>
                </w:tcPr>
                <w:p>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924" w:type="pct"/>
                  <w:vAlign w:val="center"/>
                </w:tcPr>
                <w:p>
                  <w:pPr>
                    <w:jc w:val="center"/>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风机电机</w:t>
                  </w:r>
                </w:p>
              </w:tc>
              <w:tc>
                <w:tcPr>
                  <w:tcW w:w="1167" w:type="pct"/>
                  <w:vAlign w:val="top"/>
                </w:tcPr>
                <w:p>
                  <w:pPr>
                    <w:pStyle w:val="4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YPF2-3155-6</w:t>
                  </w:r>
                </w:p>
              </w:tc>
              <w:tc>
                <w:tcPr>
                  <w:tcW w:w="472"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392"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台</w:t>
                  </w:r>
                </w:p>
              </w:tc>
              <w:tc>
                <w:tcPr>
                  <w:tcW w:w="453"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vAlign w:val="center"/>
                </w:tcPr>
                <w:p>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656" w:type="pct"/>
                  <w:vMerge w:val="continue"/>
                  <w:vAlign w:val="center"/>
                </w:tcPr>
                <w:p>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924" w:type="pct"/>
                  <w:vAlign w:val="center"/>
                </w:tcPr>
                <w:p>
                  <w:pPr>
                    <w:jc w:val="center"/>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施耐德变频器</w:t>
                  </w:r>
                </w:p>
              </w:tc>
              <w:tc>
                <w:tcPr>
                  <w:tcW w:w="1167" w:type="pct"/>
                  <w:vAlign w:val="top"/>
                </w:tcPr>
                <w:p>
                  <w:pPr>
                    <w:pStyle w:val="4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ATV630D75N4</w:t>
                  </w:r>
                </w:p>
              </w:tc>
              <w:tc>
                <w:tcPr>
                  <w:tcW w:w="472"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392"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台</w:t>
                  </w:r>
                </w:p>
              </w:tc>
              <w:tc>
                <w:tcPr>
                  <w:tcW w:w="453"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新建</w:t>
                  </w:r>
                </w:p>
              </w:tc>
            </w:tr>
          </w:tbl>
          <w:p>
            <w:pPr>
              <w:adjustRightInd w:val="0"/>
              <w:snapToGrid w:val="0"/>
              <w:spacing w:before="156" w:beforeLines="50" w:line="360" w:lineRule="auto"/>
              <w:ind w:firstLine="482" w:firstLineChars="200"/>
              <w:rPr>
                <w:rFonts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color w:val="000000" w:themeColor="text1"/>
                <w:sz w:val="24"/>
                <w:highlight w:val="none"/>
                <w14:textFill>
                  <w14:solidFill>
                    <w14:schemeClr w14:val="tx1"/>
                  </w14:solidFill>
                </w14:textFill>
              </w:rPr>
              <w:t>、平面布置：</w:t>
            </w:r>
            <w:r>
              <w:rPr>
                <w:rFonts w:hint="eastAsia" w:ascii="Times New Roman" w:hAnsi="Times New Roman" w:eastAsia="宋体" w:cs="Times New Roman"/>
                <w:bCs/>
                <w:color w:val="000000" w:themeColor="text1"/>
                <w:sz w:val="24"/>
                <w:highlight w:val="none"/>
                <w14:textFill>
                  <w14:solidFill>
                    <w14:schemeClr w14:val="tx1"/>
                  </w14:solidFill>
                </w14:textFill>
              </w:rPr>
              <w:t>厂区出入口位于厂区东北角，原料堆场位于厂区南部，堆场北侧自东向西依次为削片车间、刨花车间、锯屑库、燃料库；燃料库北侧自西向东依次为库房、制胶车间，制胶车间北侧为筛分打磨车间，制胶车间及</w:t>
            </w:r>
            <w:bookmarkStart w:id="13" w:name="_Hlk142732195"/>
            <w:r>
              <w:rPr>
                <w:rFonts w:hint="eastAsia" w:ascii="Times New Roman" w:hAnsi="Times New Roman" w:eastAsia="宋体" w:cs="Times New Roman"/>
                <w:bCs/>
                <w:color w:val="000000" w:themeColor="text1"/>
                <w:sz w:val="24"/>
                <w:highlight w:val="none"/>
                <w14:textFill>
                  <w14:solidFill>
                    <w14:schemeClr w14:val="tx1"/>
                  </w14:solidFill>
                </w14:textFill>
              </w:rPr>
              <w:t>筛分打磨车间</w:t>
            </w:r>
            <w:bookmarkEnd w:id="13"/>
            <w:r>
              <w:rPr>
                <w:rFonts w:hint="eastAsia" w:ascii="Times New Roman" w:hAnsi="Times New Roman" w:eastAsia="宋体" w:cs="Times New Roman"/>
                <w:bCs/>
                <w:color w:val="000000" w:themeColor="text1"/>
                <w:sz w:val="24"/>
                <w:highlight w:val="none"/>
                <w14:textFill>
                  <w14:solidFill>
                    <w14:schemeClr w14:val="tx1"/>
                  </w14:solidFill>
                </w14:textFill>
              </w:rPr>
              <w:t>东侧为热能中心，筛分打磨车间北侧为调胶、铺装车间，东侧为热压车间及刨花板车间。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技改项目位于热能中心，</w:t>
            </w:r>
            <w:r>
              <w:rPr>
                <w:rFonts w:hint="eastAsia" w:ascii="Times New Roman" w:hAnsi="Times New Roman" w:cs="Times New Roman"/>
                <w:color w:val="000000" w:themeColor="text1"/>
                <w:sz w:val="24"/>
                <w:highlight w:val="none"/>
                <w14:textFill>
                  <w14:solidFill>
                    <w14:schemeClr w14:val="tx1"/>
                  </w14:solidFill>
                </w14:textFill>
              </w:rPr>
              <w:t>平面布置图详见附图。</w:t>
            </w:r>
          </w:p>
          <w:p>
            <w:pPr>
              <w:adjustRightInd w:val="0"/>
              <w:snapToGrid w:val="0"/>
              <w:spacing w:line="360" w:lineRule="auto"/>
              <w:ind w:firstLine="482" w:firstLineChars="200"/>
              <w:rPr>
                <w:rFonts w:ascii="Times New Roman" w:hAnsi="Times New Roman" w:cs="Times New Roman"/>
                <w:color w:val="000000" w:themeColor="text1"/>
                <w:kern w:val="44"/>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6</w:t>
            </w:r>
            <w:r>
              <w:rPr>
                <w:rFonts w:hint="eastAsia" w:ascii="Times New Roman" w:hAnsi="Times New Roman" w:cs="Times New Roman"/>
                <w:b/>
                <w:color w:val="000000" w:themeColor="text1"/>
                <w:sz w:val="24"/>
                <w:highlight w:val="none"/>
                <w14:textFill>
                  <w14:solidFill>
                    <w14:schemeClr w14:val="tx1"/>
                  </w14:solidFill>
                </w14:textFill>
              </w:rPr>
              <w:t>、劳动定员及工作制度：</w:t>
            </w:r>
            <w:r>
              <w:rPr>
                <w:rFonts w:hint="eastAsia" w:ascii="Times New Roman" w:hAnsi="Times New Roman" w:cs="Times New Roman"/>
                <w:bCs/>
                <w:color w:val="000000" w:themeColor="text1"/>
                <w:sz w:val="24"/>
                <w:highlight w:val="none"/>
                <w14:textFill>
                  <w14:solidFill>
                    <w14:schemeClr w14:val="tx1"/>
                  </w14:solidFill>
                </w14:textFill>
              </w:rPr>
              <w:t>厂区</w:t>
            </w:r>
            <w:r>
              <w:rPr>
                <w:rFonts w:hint="eastAsia" w:ascii="Times New Roman" w:hAnsi="Times New Roman" w:eastAsia="宋体" w:cs="Times New Roman"/>
                <w:color w:val="000000" w:themeColor="text1"/>
                <w:sz w:val="24"/>
                <w:highlight w:val="none"/>
                <w14:textFill>
                  <w14:solidFill>
                    <w14:schemeClr w14:val="tx1"/>
                  </w14:solidFill>
                </w14:textFill>
              </w:rPr>
              <w:t>现有劳动定员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18</w:t>
            </w:r>
            <w:r>
              <w:rPr>
                <w:rFonts w:hint="eastAsia" w:ascii="Times New Roman" w:hAnsi="Times New Roman" w:eastAsia="宋体" w:cs="Times New Roman"/>
                <w:color w:val="000000" w:themeColor="text1"/>
                <w:sz w:val="24"/>
                <w:highlight w:val="none"/>
                <w14:textFill>
                  <w14:solidFill>
                    <w14:schemeClr w14:val="tx1"/>
                  </w14:solidFill>
                </w14:textFill>
              </w:rPr>
              <w:t>0人，本项目不新增劳动定员，由厂区现有员工内部调剂。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热能中心年运行6750小时</w:t>
            </w:r>
            <w:r>
              <w:rPr>
                <w:rFonts w:hint="eastAsia" w:ascii="Times New Roman" w:hAnsi="Times New Roman" w:eastAsia="宋体" w:cs="Times New Roman"/>
                <w:color w:val="000000" w:themeColor="text1"/>
                <w:sz w:val="24"/>
                <w:highlight w:val="none"/>
                <w14:textFill>
                  <w14:solidFill>
                    <w14:schemeClr w14:val="tx1"/>
                  </w14:solidFill>
                </w14:textFill>
              </w:rPr>
              <w:t>。</w:t>
            </w:r>
          </w:p>
          <w:p>
            <w:pPr>
              <w:adjustRightInd w:val="0"/>
              <w:snapToGrid w:val="0"/>
              <w:spacing w:line="360" w:lineRule="auto"/>
              <w:ind w:firstLine="482"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b/>
                <w:color w:val="000000" w:themeColor="text1"/>
                <w:sz w:val="24"/>
                <w:highlight w:val="none"/>
                <w14:textFill>
                  <w14:solidFill>
                    <w14:schemeClr w14:val="tx1"/>
                  </w14:solidFill>
                </w14:textFill>
              </w:rPr>
              <w:t>、给排水情况：</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（1）</w:t>
            </w:r>
            <w:r>
              <w:rPr>
                <w:rFonts w:ascii="Times New Roman" w:hAnsi="Times New Roman" w:eastAsia="宋体" w:cs="Times New Roman"/>
                <w:color w:val="000000" w:themeColor="text1"/>
                <w:sz w:val="24"/>
                <w:highlight w:val="none"/>
                <w14:textFill>
                  <w14:solidFill>
                    <w14:schemeClr w14:val="tx1"/>
                  </w14:solidFill>
                </w14:textFill>
              </w:rPr>
              <w:t>给水工程</w:t>
            </w:r>
          </w:p>
          <w:p>
            <w:pPr>
              <w:keepNext w:val="0"/>
              <w:keepLines w:val="0"/>
              <w:pageBreakBefore w:val="0"/>
              <w:widowControl w:val="0"/>
              <w:kinsoku/>
              <w:wordWrap/>
              <w:overflowPunct/>
              <w:topLinePunct w:val="0"/>
              <w:autoSpaceDE/>
              <w:autoSpaceDN/>
              <w:bidi w:val="0"/>
              <w:spacing w:line="312"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厂区现有生产、生活用水取自</w:t>
            </w:r>
            <w:r>
              <w:rPr>
                <w:rFonts w:hint="eastAsia"/>
                <w:color w:val="000000" w:themeColor="text1"/>
                <w:sz w:val="24"/>
                <w:highlight w:val="none"/>
                <w:lang w:val="en-US" w:eastAsia="zh-CN"/>
                <w14:textFill>
                  <w14:solidFill>
                    <w14:schemeClr w14:val="tx1"/>
                  </w14:solidFill>
                </w14:textFill>
              </w:rPr>
              <w:t>市政给水管网。</w:t>
            </w:r>
            <w:r>
              <w:rPr>
                <w:rFonts w:hint="eastAsia"/>
                <w:color w:val="000000" w:themeColor="text1"/>
                <w:sz w:val="24"/>
                <w:highlight w:val="none"/>
                <w14:textFill>
                  <w14:solidFill>
                    <w14:schemeClr w14:val="tx1"/>
                  </w14:solidFill>
                </w14:textFill>
              </w:rPr>
              <w:t>本项目不新增劳动定员，不新增生活用水；项目所用</w:t>
            </w:r>
            <w:r>
              <w:rPr>
                <w:rFonts w:hint="eastAsia"/>
                <w:color w:val="000000" w:themeColor="text1"/>
                <w:sz w:val="24"/>
                <w:highlight w:val="none"/>
                <w:lang w:val="en-US" w:eastAsia="zh-CN"/>
                <w14:textFill>
                  <w14:solidFill>
                    <w14:schemeClr w14:val="tx1"/>
                  </w14:solidFill>
                </w14:textFill>
              </w:rPr>
              <w:t>鼓风设备</w:t>
            </w:r>
            <w:r>
              <w:rPr>
                <w:rFonts w:hint="eastAsia"/>
                <w:color w:val="000000" w:themeColor="text1"/>
                <w:sz w:val="24"/>
                <w:highlight w:val="none"/>
                <w14:textFill>
                  <w14:solidFill>
                    <w14:schemeClr w14:val="tx1"/>
                  </w14:solidFill>
                </w14:textFill>
              </w:rPr>
              <w:t>无需用水，不新增生产用水。</w:t>
            </w:r>
          </w:p>
          <w:p>
            <w:pPr>
              <w:pStyle w:val="4"/>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Ansi="Times New Roman" w:eastAsia="宋体" w:cs="Times New Roman"/>
                <w:color w:val="000000" w:themeColor="text1"/>
                <w:sz w:val="24"/>
                <w:highlight w:val="none"/>
                <w14:textFill>
                  <w14:solidFill>
                    <w14:schemeClr w14:val="tx1"/>
                  </w14:solidFill>
                </w14:textFill>
              </w:rPr>
            </w:pPr>
            <w:r>
              <w:rPr>
                <w:rFonts w:hint="eastAsia" w:hAnsi="Times New Roman" w:eastAsia="宋体" w:cs="Times New Roman"/>
                <w:color w:val="000000" w:themeColor="text1"/>
                <w:sz w:val="24"/>
                <w:highlight w:val="none"/>
                <w14:textFill>
                  <w14:solidFill>
                    <w14:schemeClr w14:val="tx1"/>
                  </w14:solidFill>
                </w14:textFill>
              </w:rPr>
              <w:t>（2）排水工程</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本项目无新增废水产生。</w:t>
            </w:r>
          </w:p>
          <w:p>
            <w:pPr>
              <w:keepNext w:val="0"/>
              <w:keepLines w:val="0"/>
              <w:pageBreakBefore w:val="0"/>
              <w:widowControl w:val="0"/>
              <w:kinsoku/>
              <w:wordWrap/>
              <w:overflowPunct/>
              <w:topLinePunct w:val="0"/>
              <w:autoSpaceDE/>
              <w:autoSpaceDN/>
              <w:bidi w:val="0"/>
              <w:snapToGrid w:val="0"/>
              <w:spacing w:line="312" w:lineRule="auto"/>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4" w:hRule="atLeast"/>
          <w:jc w:val="center"/>
        </w:trPr>
        <w:tc>
          <w:tcPr>
            <w:tcW w:w="492"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7"/>
              <w:adjustRightInd w:val="0"/>
              <w:snapToGrid w:val="0"/>
              <w:spacing w:beforeAutospacing="0" w:afterAutospacing="0"/>
              <w:jc w:val="center"/>
              <w:rPr>
                <w:rFonts w:hint="default" w:ascii="Times New Roman" w:hAnsi="Times New Roman"/>
                <w:color w:val="000000" w:themeColor="text1"/>
                <w:szCs w:val="24"/>
                <w:highlight w:val="none"/>
                <w14:textFill>
                  <w14:solidFill>
                    <w14:schemeClr w14:val="tx1"/>
                  </w14:solidFill>
                </w14:textFill>
              </w:rPr>
            </w:pPr>
            <w:r>
              <w:rPr>
                <w:rFonts w:hint="default" w:ascii="Times New Roman" w:hAnsi="Times New Roman"/>
                <w:color w:val="000000" w:themeColor="text1"/>
                <w:szCs w:val="24"/>
                <w:highlight w:val="none"/>
                <w14:textFill>
                  <w14:solidFill>
                    <w14:schemeClr w14:val="tx1"/>
                  </w14:solidFill>
                </w14:textFill>
              </w:rPr>
              <w:t>工艺流程和产排污环节</w:t>
            </w:r>
          </w:p>
        </w:tc>
        <w:tc>
          <w:tcPr>
            <w:tcW w:w="8478" w:type="dxa"/>
            <w:tcBorders>
              <w:top w:val="single" w:color="auto" w:sz="4" w:space="0"/>
              <w:left w:val="single" w:color="auto" w:sz="4" w:space="0"/>
              <w:bottom w:val="single" w:color="auto" w:sz="4" w:space="0"/>
              <w:right w:val="single" w:color="auto" w:sz="8" w:space="0"/>
            </w:tcBorders>
            <w:shd w:val="clear" w:color="auto" w:fill="auto"/>
          </w:tcPr>
          <w:p>
            <w:pPr>
              <w:spacing w:line="336"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1</w:t>
            </w:r>
            <w:r>
              <w:rPr>
                <w:rFonts w:ascii="Times New Roman" w:hAnsi="Times New Roman" w:cs="Times New Roman"/>
                <w:b/>
                <w:bCs/>
                <w:color w:val="000000" w:themeColor="text1"/>
                <w:sz w:val="24"/>
                <w:highlight w:val="none"/>
                <w14:textFill>
                  <w14:solidFill>
                    <w14:schemeClr w14:val="tx1"/>
                  </w14:solidFill>
                </w14:textFill>
              </w:rPr>
              <w:t>、</w:t>
            </w:r>
            <w:r>
              <w:rPr>
                <w:rFonts w:hint="eastAsia" w:ascii="宋体" w:hAnsi="宋体" w:eastAsia="宋体" w:cs="宋体"/>
                <w:b/>
                <w:bCs/>
                <w:color w:val="000000" w:themeColor="text1"/>
                <w:sz w:val="24"/>
                <w:highlight w:val="none"/>
                <w14:textFill>
                  <w14:solidFill>
                    <w14:schemeClr w14:val="tx1"/>
                  </w14:solidFill>
                </w14:textFill>
              </w:rPr>
              <w:t>施工期</w:t>
            </w:r>
          </w:p>
          <w:p>
            <w:pPr>
              <w:spacing w:line="336"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项目施工期工程包括</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提升风机入口管道高度，提升风机出口管道高度</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更换电缆型号</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更换施耐德变频器</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更换鼓风机电机功率</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将热能中心现有45m高排气筒加高至55m</w:t>
            </w:r>
            <w:r>
              <w:rPr>
                <w:rFonts w:ascii="Times New Roman" w:hAnsi="Times New Roman" w:cs="Times New Roman"/>
                <w:color w:val="000000" w:themeColor="text1"/>
                <w:sz w:val="24"/>
                <w:highlight w:val="none"/>
                <w14:textFill>
                  <w14:solidFill>
                    <w14:schemeClr w14:val="tx1"/>
                  </w14:solidFill>
                </w14:textFill>
              </w:rPr>
              <w:t>。</w:t>
            </w:r>
          </w:p>
          <w:p>
            <w:pPr>
              <w:spacing w:line="336"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施工内容见下表：</w:t>
            </w:r>
          </w:p>
          <w:p>
            <w:pPr>
              <w:numPr>
                <w:ilvl w:val="0"/>
                <w:numId w:val="6"/>
              </w:numPr>
              <w:adjustRightInd w:val="0"/>
              <w:snapToGrid w:val="0"/>
              <w:spacing w:line="360" w:lineRule="auto"/>
              <w:ind w:left="0" w:firstLine="0"/>
              <w:jc w:val="center"/>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施工内容</w:t>
            </w:r>
            <w:r>
              <w:rPr>
                <w:rFonts w:hint="eastAsia" w:ascii="Times New Roman" w:hAnsi="Times New Roman" w:eastAsia="宋体" w:cs="Times New Roman"/>
                <w:b/>
                <w:bCs/>
                <w:color w:val="000000" w:themeColor="text1"/>
                <w:highlight w:val="none"/>
                <w14:textFill>
                  <w14:solidFill>
                    <w14:schemeClr w14:val="tx1"/>
                  </w14:solidFill>
                </w14:textFill>
              </w:rPr>
              <w:t>一览表</w:t>
            </w:r>
          </w:p>
          <w:tbl>
            <w:tblPr>
              <w:tblStyle w:val="2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395"/>
              <w:gridCol w:w="5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序号</w:t>
                  </w:r>
                </w:p>
              </w:tc>
              <w:tc>
                <w:tcPr>
                  <w:tcW w:w="139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工程</w:t>
                  </w: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内容</w:t>
                  </w:r>
                </w:p>
              </w:tc>
              <w:tc>
                <w:tcPr>
                  <w:tcW w:w="58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施工</w:t>
                  </w: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期工艺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p>
              </w:tc>
              <w:tc>
                <w:tcPr>
                  <w:tcW w:w="139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提升风机入口管道高度，提升风机出口管道高度</w:t>
                  </w:r>
                </w:p>
              </w:tc>
              <w:tc>
                <w:tcPr>
                  <w:tcW w:w="58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拆除原直径3.5米风门、排风口</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购买直径4米的风门</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制作10米直径4米的排风管道</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安装风门和排风管道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w:t>
                  </w:r>
                </w:p>
              </w:tc>
              <w:tc>
                <w:tcPr>
                  <w:tcW w:w="139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更换电缆型号</w:t>
                  </w:r>
                </w:p>
              </w:tc>
              <w:tc>
                <w:tcPr>
                  <w:tcW w:w="58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拆开配电柜和电机接线端子</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撤出原电缆</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穿入新电缆</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14:textFill>
                        <w14:solidFill>
                          <w14:schemeClr w14:val="tx1"/>
                        </w14:solidFill>
                      </w14:textFill>
                    </w:rPr>
                    <w:t>原电缆从ZR-YJV22-8.7/10KV-(3×95)型号更换成ZR-YJV22-8.7/10KV-(3×150)型号，更换长度150米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p>
              </w:tc>
              <w:tc>
                <w:tcPr>
                  <w:tcW w:w="139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更换施耐德变频器</w:t>
                  </w:r>
                </w:p>
              </w:tc>
              <w:tc>
                <w:tcPr>
                  <w:tcW w:w="58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拆除旧变频器</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更换新变频器</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14:textFill>
                        <w14:solidFill>
                          <w14:schemeClr w14:val="tx1"/>
                        </w14:solidFill>
                      </w14:textFill>
                    </w:rPr>
                    <w:t>原来用的汇川变频器，功率710KW，更换后用的施耐德的变频器功率1000KW</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设置新变频器参数并调试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4</w:t>
                  </w:r>
                </w:p>
              </w:tc>
              <w:tc>
                <w:tcPr>
                  <w:tcW w:w="139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更换鼓风机电机功率</w:t>
                  </w:r>
                </w:p>
              </w:tc>
              <w:tc>
                <w:tcPr>
                  <w:tcW w:w="58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脱开原电机基础，吊出旧电机</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制作新电机基础</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安装新电机</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14:textFill>
                        <w14:solidFill>
                          <w14:schemeClr w14:val="tx1"/>
                        </w14:solidFill>
                      </w14:textFill>
                    </w:rPr>
                    <w:t>原电机710KW更换为1000KW</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调整联轴器使其与风机轴承同心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5</w:t>
                  </w:r>
                </w:p>
              </w:tc>
              <w:tc>
                <w:tcPr>
                  <w:tcW w:w="139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将热能中心现有45m高排气筒加高至55m</w:t>
                  </w:r>
                </w:p>
              </w:tc>
              <w:tc>
                <w:tcPr>
                  <w:tcW w:w="58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购买304不锈钢板材，板材规格1.5米*6米*8毫米厚。</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将板材卷成直径4米的圆筒，将</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各</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节圆筒焊接成风管</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进行螺旋加固</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；将风管与现有排气筒通过</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法兰连接</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确保安全牢固</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制作防雨帽</w:t>
                  </w:r>
                </w:p>
              </w:tc>
            </w:tr>
          </w:tbl>
          <w:p>
            <w:pPr>
              <w:spacing w:line="336"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产污环节主要为拆除</w:t>
            </w:r>
            <w:r>
              <w:rPr>
                <w:rFonts w:hint="eastAsia" w:ascii="Times New Roman" w:hAnsi="Times New Roman" w:cs="Times New Roman"/>
                <w:color w:val="000000" w:themeColor="text1"/>
                <w:sz w:val="24"/>
                <w:highlight w:val="none"/>
                <w:lang w:val="en-US" w:eastAsia="zh-CN"/>
                <w14:textFill>
                  <w14:solidFill>
                    <w14:schemeClr w14:val="tx1"/>
                  </w14:solidFill>
                </w14:textFill>
              </w:rPr>
              <w:t>原</w:t>
            </w:r>
            <w:r>
              <w:rPr>
                <w:rFonts w:ascii="Times New Roman" w:hAnsi="Times New Roman" w:cs="Times New Roman"/>
                <w:color w:val="000000" w:themeColor="text1"/>
                <w:sz w:val="24"/>
                <w:highlight w:val="none"/>
                <w14:textFill>
                  <w14:solidFill>
                    <w14:schemeClr w14:val="tx1"/>
                  </w14:solidFill>
                </w14:textFill>
              </w:rPr>
              <w:t>设备、</w:t>
            </w:r>
            <w:r>
              <w:rPr>
                <w:rFonts w:hint="eastAsia" w:ascii="Times New Roman" w:hAnsi="Times New Roman" w:cs="Times New Roman"/>
                <w:color w:val="000000" w:themeColor="text1"/>
                <w:sz w:val="24"/>
                <w:highlight w:val="none"/>
                <w:lang w:val="en-US" w:eastAsia="zh-CN"/>
                <w14:textFill>
                  <w14:solidFill>
                    <w14:schemeClr w14:val="tx1"/>
                  </w14:solidFill>
                </w14:textFill>
              </w:rPr>
              <w:t>设备基础</w:t>
            </w:r>
            <w:r>
              <w:rPr>
                <w:rFonts w:ascii="Times New Roman" w:hAnsi="Times New Roman" w:cs="Times New Roman"/>
                <w:color w:val="000000" w:themeColor="text1"/>
                <w:sz w:val="24"/>
                <w:highlight w:val="none"/>
                <w14:textFill>
                  <w14:solidFill>
                    <w14:schemeClr w14:val="tx1"/>
                  </w14:solidFill>
                </w14:textFill>
              </w:rPr>
              <w:t>施工、设备安装、表面修整、现场清理等过程中产生的施工扬尘、施工废水、施工设备噪声、固体废物等污染物。</w:t>
            </w:r>
          </w:p>
          <w:p>
            <w:pPr>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8255</wp:posOffset>
                      </wp:positionH>
                      <wp:positionV relativeFrom="paragraph">
                        <wp:posOffset>36830</wp:posOffset>
                      </wp:positionV>
                      <wp:extent cx="5102860" cy="1497330"/>
                      <wp:effectExtent l="8255" t="6350" r="13335" b="20320"/>
                      <wp:wrapTopAndBottom/>
                      <wp:docPr id="55" name="组合 55"/>
                      <wp:cNvGraphicFramePr/>
                      <a:graphic xmlns:a="http://schemas.openxmlformats.org/drawingml/2006/main">
                        <a:graphicData uri="http://schemas.microsoft.com/office/word/2010/wordprocessingGroup">
                          <wpg:wgp>
                            <wpg:cNvGrpSpPr/>
                            <wpg:grpSpPr>
                              <a:xfrm>
                                <a:off x="0" y="0"/>
                                <a:ext cx="5102860" cy="1497330"/>
                                <a:chOff x="7207" y="17728"/>
                                <a:chExt cx="79453" cy="23762"/>
                              </a:xfrm>
                            </wpg:grpSpPr>
                            <wps:wsp>
                              <wps:cNvPr id="71" name="矩形 71"/>
                              <wps:cNvSpPr/>
                              <wps:spPr>
                                <a:xfrm>
                                  <a:off x="26625" y="25457"/>
                                  <a:ext cx="10490" cy="7487"/>
                                </a:xfrm>
                                <a:prstGeom prst="rect">
                                  <a:avLst/>
                                </a:prstGeom>
                                <a:noFill/>
                                <a:ln w="15875" cap="flat" cmpd="sng">
                                  <a:solidFill>
                                    <a:srgbClr val="000000"/>
                                  </a:solidFill>
                                  <a:prstDash val="solid"/>
                                  <a:miter/>
                                  <a:headEnd type="none" w="med" len="med"/>
                                  <a:tailEnd type="none" w="med" len="med"/>
                                </a:ln>
                              </wps:spPr>
                              <wps:txbx>
                                <w:txbxContent>
                                  <w:p>
                                    <w:pPr>
                                      <w:pStyle w:val="17"/>
                                      <w:jc w:val="center"/>
                                      <w:textAlignment w:val="baseline"/>
                                      <w:rPr>
                                        <w:rFonts w:hint="default"/>
                                        <w:sz w:val="18"/>
                                        <w:szCs w:val="18"/>
                                      </w:rPr>
                                    </w:pPr>
                                    <w:r>
                                      <w:rPr>
                                        <w:rFonts w:hint="eastAsia" w:asciiTheme="minorHAnsi" w:eastAsiaTheme="minorEastAsia" w:cstheme="minorBidi"/>
                                        <w:color w:val="000000" w:themeColor="text1"/>
                                        <w:kern w:val="24"/>
                                        <w:sz w:val="18"/>
                                        <w:szCs w:val="18"/>
                                        <w:lang w:val="en-US" w:eastAsia="zh-CN"/>
                                        <w14:textFill>
                                          <w14:solidFill>
                                            <w14:schemeClr w14:val="tx1"/>
                                          </w14:solidFill>
                                        </w14:textFill>
                                      </w:rPr>
                                      <w:t>设备基础</w:t>
                                    </w:r>
                                    <w:r>
                                      <w:rPr>
                                        <w:rFonts w:asciiTheme="minorHAnsi" w:eastAsiaTheme="minorEastAsia" w:cstheme="minorBidi"/>
                                        <w:color w:val="000000" w:themeColor="text1"/>
                                        <w:kern w:val="24"/>
                                        <w:sz w:val="18"/>
                                        <w:szCs w:val="18"/>
                                        <w14:textFill>
                                          <w14:solidFill>
                                            <w14:schemeClr w14:val="tx1"/>
                                          </w14:solidFill>
                                        </w14:textFill>
                                      </w:rPr>
                                      <w:t>施工</w:t>
                                    </w:r>
                                  </w:p>
                                  <w:p/>
                                </w:txbxContent>
                              </wps:txbx>
                              <wps:bodyPr anchor="ctr" upright="1"/>
                            </wps:wsp>
                            <wps:wsp>
                              <wps:cNvPr id="72" name="直接箭头连接符 72"/>
                              <wps:cNvCnPr>
                                <a:stCxn id="71" idx="3"/>
                              </wps:cNvCnPr>
                              <wps:spPr>
                                <a:xfrm flipV="1">
                                  <a:off x="37111" y="29199"/>
                                  <a:ext cx="3210" cy="9"/>
                                </a:xfrm>
                                <a:prstGeom prst="straightConnector1">
                                  <a:avLst/>
                                </a:prstGeom>
                                <a:ln w="15875" cap="flat" cmpd="sng">
                                  <a:solidFill>
                                    <a:srgbClr val="000000"/>
                                  </a:solidFill>
                                  <a:prstDash val="solid"/>
                                  <a:headEnd type="none" w="med" len="med"/>
                                  <a:tailEnd type="triangle" w="lg" len="lg"/>
                                </a:ln>
                              </wps:spPr>
                              <wps:bodyPr/>
                            </wps:wsp>
                            <wps:wsp>
                              <wps:cNvPr id="73" name="矩形 73"/>
                              <wps:cNvSpPr/>
                              <wps:spPr>
                                <a:xfrm>
                                  <a:off x="75249" y="27573"/>
                                  <a:ext cx="11411" cy="4314"/>
                                </a:xfrm>
                                <a:prstGeom prst="rect">
                                  <a:avLst/>
                                </a:prstGeom>
                                <a:noFill/>
                                <a:ln w="15875" cap="flat" cmpd="sng">
                                  <a:solidFill>
                                    <a:srgbClr val="000000"/>
                                  </a:solidFill>
                                  <a:prstDash val="solid"/>
                                  <a:miter/>
                                  <a:headEnd type="none" w="med" len="med"/>
                                  <a:tailEnd type="none" w="med" len="med"/>
                                </a:ln>
                              </wps:spPr>
                              <wps:txb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现场清理</w:t>
                                    </w:r>
                                  </w:p>
                                </w:txbxContent>
                              </wps:txbx>
                              <wps:bodyPr anchor="ctr" upright="1"/>
                            </wps:wsp>
                            <wps:wsp>
                              <wps:cNvPr id="74" name="直接箭头连接符 74"/>
                              <wps:cNvCnPr>
                                <a:stCxn id="78" idx="3"/>
                              </wps:cNvCnPr>
                              <wps:spPr>
                                <a:xfrm>
                                  <a:off x="22780" y="29735"/>
                                  <a:ext cx="4034" cy="135"/>
                                </a:xfrm>
                                <a:prstGeom prst="straightConnector1">
                                  <a:avLst/>
                                </a:prstGeom>
                                <a:ln w="15875" cap="flat" cmpd="sng">
                                  <a:solidFill>
                                    <a:srgbClr val="000000"/>
                                  </a:solidFill>
                                  <a:prstDash val="solid"/>
                                  <a:headEnd type="none" w="med" len="med"/>
                                  <a:tailEnd type="triangle" w="lg" len="lg"/>
                                </a:ln>
                              </wps:spPr>
                              <wps:bodyPr/>
                            </wps:wsp>
                            <wps:wsp>
                              <wps:cNvPr id="75" name="矩形 75"/>
                              <wps:cNvSpPr/>
                              <wps:spPr>
                                <a:xfrm>
                                  <a:off x="59408" y="27573"/>
                                  <a:ext cx="11263" cy="4314"/>
                                </a:xfrm>
                                <a:prstGeom prst="rect">
                                  <a:avLst/>
                                </a:prstGeom>
                                <a:noFill/>
                                <a:ln w="15875" cap="flat" cmpd="sng">
                                  <a:solidFill>
                                    <a:srgbClr val="000000"/>
                                  </a:solidFill>
                                  <a:prstDash val="solid"/>
                                  <a:miter/>
                                  <a:headEnd type="none" w="med" len="med"/>
                                  <a:tailEnd type="none" w="med" len="med"/>
                                </a:ln>
                              </wps:spPr>
                              <wps:txb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表面修整</w:t>
                                    </w:r>
                                  </w:p>
                                </w:txbxContent>
                              </wps:txbx>
                              <wps:bodyPr anchor="ctr" upright="1"/>
                            </wps:wsp>
                            <wps:wsp>
                              <wps:cNvPr id="76" name="矩形 76"/>
                              <wps:cNvSpPr/>
                              <wps:spPr>
                                <a:xfrm>
                                  <a:off x="40322" y="27568"/>
                                  <a:ext cx="11438" cy="4318"/>
                                </a:xfrm>
                                <a:prstGeom prst="rect">
                                  <a:avLst/>
                                </a:prstGeom>
                                <a:noFill/>
                                <a:ln w="15875" cap="flat" cmpd="sng">
                                  <a:solidFill>
                                    <a:srgbClr val="000000"/>
                                  </a:solidFill>
                                  <a:prstDash val="solid"/>
                                  <a:miter/>
                                  <a:headEnd type="none" w="med" len="med"/>
                                  <a:tailEnd type="none" w="med" len="med"/>
                                </a:ln>
                              </wps:spPr>
                              <wps:txb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设备安装</w:t>
                                    </w:r>
                                  </w:p>
                                  <w:p/>
                                </w:txbxContent>
                              </wps:txbx>
                              <wps:bodyPr anchor="ctr" upright="1"/>
                            </wps:wsp>
                            <wps:wsp>
                              <wps:cNvPr id="77" name="直接箭头连接符 77"/>
                              <wps:cNvCnPr>
                                <a:stCxn id="76" idx="3"/>
                              </wps:cNvCnPr>
                              <wps:spPr>
                                <a:xfrm flipV="1">
                                  <a:off x="51756" y="29723"/>
                                  <a:ext cx="7648" cy="9"/>
                                </a:xfrm>
                                <a:prstGeom prst="straightConnector1">
                                  <a:avLst/>
                                </a:prstGeom>
                                <a:ln w="15875" cap="flat" cmpd="sng">
                                  <a:solidFill>
                                    <a:srgbClr val="000000"/>
                                  </a:solidFill>
                                  <a:prstDash val="solid"/>
                                  <a:headEnd type="none" w="med" len="med"/>
                                  <a:tailEnd type="triangle" w="lg" len="lg"/>
                                </a:ln>
                              </wps:spPr>
                              <wps:bodyPr/>
                            </wps:wsp>
                            <wps:wsp>
                              <wps:cNvPr id="78" name="矩形 78"/>
                              <wps:cNvSpPr/>
                              <wps:spPr>
                                <a:xfrm>
                                  <a:off x="7207" y="27573"/>
                                  <a:ext cx="15572" cy="4314"/>
                                </a:xfrm>
                                <a:prstGeom prst="rect">
                                  <a:avLst/>
                                </a:prstGeom>
                                <a:noFill/>
                                <a:ln w="15875" cap="flat" cmpd="sng">
                                  <a:solidFill>
                                    <a:srgbClr val="000000"/>
                                  </a:solidFill>
                                  <a:prstDash val="solid"/>
                                  <a:miter/>
                                  <a:headEnd type="none" w="med" len="med"/>
                                  <a:tailEnd type="none" w="med" len="med"/>
                                </a:ln>
                              </wps:spPr>
                              <wps:txbx>
                                <w:txbxContent>
                                  <w:p>
                                    <w:pPr>
                                      <w:pStyle w:val="17"/>
                                      <w:jc w:val="center"/>
                                      <w:textAlignment w:val="baseline"/>
                                      <w:rPr>
                                        <w:rFonts w:hint="eastAsia" w:eastAsiaTheme="minorEastAsia"/>
                                        <w:sz w:val="18"/>
                                        <w:szCs w:val="18"/>
                                        <w:lang w:eastAsia="zh-CN"/>
                                      </w:rPr>
                                    </w:pPr>
                                    <w:r>
                                      <w:rPr>
                                        <w:rFonts w:asciiTheme="minorHAnsi" w:eastAsiaTheme="minorEastAsia" w:cstheme="minorBidi"/>
                                        <w:color w:val="000000" w:themeColor="text1"/>
                                        <w:kern w:val="24"/>
                                        <w:sz w:val="18"/>
                                        <w:szCs w:val="18"/>
                                        <w14:textFill>
                                          <w14:solidFill>
                                            <w14:schemeClr w14:val="tx1"/>
                                          </w14:solidFill>
                                        </w14:textFill>
                                      </w:rPr>
                                      <w:t>拆除</w:t>
                                    </w:r>
                                    <w:r>
                                      <w:rPr>
                                        <w:rFonts w:hint="eastAsia" w:asciiTheme="minorHAnsi" w:eastAsiaTheme="minorEastAsia" w:cstheme="minorBidi"/>
                                        <w:color w:val="000000" w:themeColor="text1"/>
                                        <w:kern w:val="24"/>
                                        <w:sz w:val="18"/>
                                        <w:szCs w:val="18"/>
                                        <w:lang w:val="en-US" w:eastAsia="zh-CN"/>
                                        <w14:textFill>
                                          <w14:solidFill>
                                            <w14:schemeClr w14:val="tx1"/>
                                          </w14:solidFill>
                                        </w14:textFill>
                                      </w:rPr>
                                      <w:t>原设备</w:t>
                                    </w:r>
                                  </w:p>
                                </w:txbxContent>
                              </wps:txbx>
                              <wps:bodyPr anchor="ctr" upright="1"/>
                            </wps:wsp>
                            <wps:wsp>
                              <wps:cNvPr id="79" name="直接箭头连接符 79"/>
                              <wps:cNvCnPr/>
                              <wps:spPr>
                                <a:xfrm rot="5400000">
                                  <a:off x="10072" y="34402"/>
                                  <a:ext cx="5032" cy="0"/>
                                </a:xfrm>
                                <a:prstGeom prst="straightConnector1">
                                  <a:avLst/>
                                </a:prstGeom>
                                <a:ln w="9525" cap="flat" cmpd="sng">
                                  <a:solidFill>
                                    <a:srgbClr val="000000"/>
                                  </a:solidFill>
                                  <a:prstDash val="dash"/>
                                  <a:headEnd type="none" w="med" len="med"/>
                                  <a:tailEnd type="triangle" w="lg" len="med"/>
                                </a:ln>
                              </wps:spPr>
                              <wps:bodyPr/>
                            </wps:wsp>
                            <wps:wsp>
                              <wps:cNvPr id="80" name="直接箭头连接符 80"/>
                              <wps:cNvCnPr/>
                              <wps:spPr>
                                <a:xfrm flipV="1">
                                  <a:off x="71215" y="29725"/>
                                  <a:ext cx="4034" cy="106"/>
                                </a:xfrm>
                                <a:prstGeom prst="straightConnector1">
                                  <a:avLst/>
                                </a:prstGeom>
                                <a:ln w="15875" cap="flat" cmpd="sng">
                                  <a:solidFill>
                                    <a:srgbClr val="000000"/>
                                  </a:solidFill>
                                  <a:prstDash val="solid"/>
                                  <a:headEnd type="none" w="med" len="med"/>
                                  <a:tailEnd type="triangle" w="lg" len="lg"/>
                                </a:ln>
                              </wps:spPr>
                              <wps:bodyPr/>
                            </wps:wsp>
                            <wps:wsp>
                              <wps:cNvPr id="81" name="直接箭头连接符 81"/>
                              <wps:cNvCnPr/>
                              <wps:spPr>
                                <a:xfrm rot="5400000">
                                  <a:off x="44521" y="34529"/>
                                  <a:ext cx="5032" cy="0"/>
                                </a:xfrm>
                                <a:prstGeom prst="straightConnector1">
                                  <a:avLst/>
                                </a:prstGeom>
                                <a:ln w="12700" cap="flat" cmpd="sng">
                                  <a:solidFill>
                                    <a:srgbClr val="000000"/>
                                  </a:solidFill>
                                  <a:prstDash val="dash"/>
                                  <a:headEnd type="none" w="med" len="med"/>
                                  <a:tailEnd type="triangle" w="lg" len="lg"/>
                                </a:ln>
                              </wps:spPr>
                              <wps:bodyPr/>
                            </wps:wsp>
                            <wps:wsp>
                              <wps:cNvPr id="82" name="直接箭头连接符 82"/>
                              <wps:cNvCnPr/>
                              <wps:spPr>
                                <a:xfrm rot="5400000">
                                  <a:off x="77970" y="34529"/>
                                  <a:ext cx="5032" cy="0"/>
                                </a:xfrm>
                                <a:prstGeom prst="straightConnector1">
                                  <a:avLst/>
                                </a:prstGeom>
                                <a:ln w="12700" cap="flat" cmpd="sng">
                                  <a:solidFill>
                                    <a:srgbClr val="000000"/>
                                  </a:solidFill>
                                  <a:prstDash val="dash"/>
                                  <a:headEnd type="none" w="med" len="med"/>
                                  <a:tailEnd type="triangle" w="lg" len="lg"/>
                                </a:ln>
                              </wps:spPr>
                              <wps:bodyPr/>
                            </wps:wsp>
                            <wps:wsp>
                              <wps:cNvPr id="83" name="矩形 83"/>
                              <wps:cNvSpPr/>
                              <wps:spPr>
                                <a:xfrm>
                                  <a:off x="7207" y="36918"/>
                                  <a:ext cx="11144" cy="4318"/>
                                </a:xfrm>
                                <a:prstGeom prst="rect">
                                  <a:avLst/>
                                </a:prstGeom>
                                <a:noFill/>
                                <a:ln w="12700" cap="flat" cmpd="sng">
                                  <a:solidFill>
                                    <a:srgbClr val="000000"/>
                                  </a:solidFill>
                                  <a:prstDash val="dash"/>
                                  <a:miter/>
                                  <a:headEnd type="none" w="med" len="med"/>
                                  <a:tailEnd type="none" w="med" len="med"/>
                                </a:ln>
                              </wps:spPr>
                              <wps:txb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wps:txbx>
                              <wps:bodyPr anchor="ctr" upright="1"/>
                            </wps:wsp>
                            <wps:wsp>
                              <wps:cNvPr id="84" name="矩形 84"/>
                              <wps:cNvSpPr/>
                              <wps:spPr>
                                <a:xfrm>
                                  <a:off x="40719" y="37172"/>
                                  <a:ext cx="13113" cy="4318"/>
                                </a:xfrm>
                                <a:prstGeom prst="rect">
                                  <a:avLst/>
                                </a:prstGeom>
                                <a:noFill/>
                                <a:ln w="12700" cap="flat" cmpd="sng">
                                  <a:solidFill>
                                    <a:srgbClr val="000000"/>
                                  </a:solidFill>
                                  <a:prstDash val="dash"/>
                                  <a:miter/>
                                  <a:headEnd type="none" w="med" len="med"/>
                                  <a:tailEnd type="none" w="med" len="med"/>
                                </a:ln>
                              </wps:spPr>
                              <wps:txb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噪声</w:t>
                                    </w:r>
                                  </w:p>
                                </w:txbxContent>
                              </wps:txbx>
                              <wps:bodyPr anchor="ctr" upright="1"/>
                            </wps:wsp>
                            <wps:wsp>
                              <wps:cNvPr id="85" name="矩形 85"/>
                              <wps:cNvSpPr/>
                              <wps:spPr>
                                <a:xfrm>
                                  <a:off x="41399" y="17728"/>
                                  <a:ext cx="11160" cy="4318"/>
                                </a:xfrm>
                                <a:prstGeom prst="rect">
                                  <a:avLst/>
                                </a:prstGeom>
                                <a:noFill/>
                                <a:ln w="12700" cap="flat" cmpd="sng">
                                  <a:solidFill>
                                    <a:srgbClr val="000000"/>
                                  </a:solidFill>
                                  <a:prstDash val="dash"/>
                                  <a:miter/>
                                  <a:headEnd type="none" w="med" len="med"/>
                                  <a:tailEnd type="none" w="med" len="med"/>
                                </a:ln>
                              </wps:spPr>
                              <wps:txb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扬尘</w:t>
                                    </w:r>
                                  </w:p>
                                </w:txbxContent>
                              </wps:txbx>
                              <wps:bodyPr anchor="ctr" upright="1"/>
                            </wps:wsp>
                            <wps:wsp>
                              <wps:cNvPr id="86" name="矩形 86"/>
                              <wps:cNvSpPr/>
                              <wps:spPr>
                                <a:xfrm>
                                  <a:off x="75342" y="37172"/>
                                  <a:ext cx="11160" cy="4318"/>
                                </a:xfrm>
                                <a:prstGeom prst="rect">
                                  <a:avLst/>
                                </a:prstGeom>
                                <a:noFill/>
                                <a:ln w="12700" cap="flat" cmpd="sng">
                                  <a:solidFill>
                                    <a:srgbClr val="000000"/>
                                  </a:solidFill>
                                  <a:prstDash val="dash"/>
                                  <a:miter/>
                                  <a:headEnd type="none" w="med" len="med"/>
                                  <a:tailEnd type="none" w="med" len="med"/>
                                </a:ln>
                              </wps:spPr>
                              <wps:txb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wps:txbx>
                              <wps:bodyPr anchor="ctr" upright="1"/>
                            </wps:wsp>
                            <wps:wsp>
                              <wps:cNvPr id="87" name="直接箭头连接符 87"/>
                              <wps:cNvCnPr/>
                              <wps:spPr>
                                <a:xfrm rot="-5400000" flipV="1">
                                  <a:off x="44643" y="24565"/>
                                  <a:ext cx="5033" cy="0"/>
                                </a:xfrm>
                                <a:prstGeom prst="straightConnector1">
                                  <a:avLst/>
                                </a:prstGeom>
                                <a:ln w="12700" cap="flat" cmpd="sng">
                                  <a:solidFill>
                                    <a:srgbClr val="000000"/>
                                  </a:solidFill>
                                  <a:prstDash val="dash"/>
                                  <a:headEnd type="none" w="med" len="med"/>
                                  <a:tailEnd type="triangle" w="lg" len="lg"/>
                                </a:ln>
                              </wps:spPr>
                              <wps:bodyPr/>
                            </wps:wsp>
                            <wps:wsp>
                              <wps:cNvPr id="88" name="直接箭头连接符 88"/>
                              <wps:cNvCnPr/>
                              <wps:spPr>
                                <a:xfrm>
                                  <a:off x="17636" y="32129"/>
                                  <a:ext cx="20883" cy="5761"/>
                                </a:xfrm>
                                <a:prstGeom prst="straightConnector1">
                                  <a:avLst/>
                                </a:prstGeom>
                                <a:ln w="12700" cap="flat" cmpd="sng">
                                  <a:solidFill>
                                    <a:srgbClr val="000000"/>
                                  </a:solidFill>
                                  <a:prstDash val="dash"/>
                                  <a:headEnd type="none" w="med" len="med"/>
                                  <a:tailEnd type="triangle" w="lg" len="lg"/>
                                </a:ln>
                              </wps:spPr>
                              <wps:bodyPr/>
                            </wps:wsp>
                            <wps:wsp>
                              <wps:cNvPr id="89" name="直接箭头连接符 89"/>
                              <wps:cNvCnPr/>
                              <wps:spPr>
                                <a:xfrm>
                                  <a:off x="34386" y="32855"/>
                                  <a:ext cx="5576" cy="4313"/>
                                </a:xfrm>
                                <a:prstGeom prst="straightConnector1">
                                  <a:avLst/>
                                </a:prstGeom>
                                <a:ln w="12700" cap="flat" cmpd="sng">
                                  <a:solidFill>
                                    <a:srgbClr val="000000"/>
                                  </a:solidFill>
                                  <a:prstDash val="dash"/>
                                  <a:headEnd type="none" w="med" len="med"/>
                                  <a:tailEnd type="triangle" w="lg" len="lg"/>
                                </a:ln>
                              </wps:spPr>
                              <wps:bodyPr/>
                            </wps:wsp>
                            <wps:wsp>
                              <wps:cNvPr id="90" name="直接箭头连接符 90"/>
                              <wps:cNvCnPr/>
                              <wps:spPr>
                                <a:xfrm flipV="1">
                                  <a:off x="35276" y="22050"/>
                                  <a:ext cx="6120" cy="3698"/>
                                </a:xfrm>
                                <a:prstGeom prst="straightConnector1">
                                  <a:avLst/>
                                </a:prstGeom>
                                <a:ln w="12700" cap="flat" cmpd="sng">
                                  <a:solidFill>
                                    <a:srgbClr val="000000"/>
                                  </a:solidFill>
                                  <a:prstDash val="dash"/>
                                  <a:headEnd type="none" w="med" len="med"/>
                                  <a:tailEnd type="triangle" w="lg" len="lg"/>
                                </a:ln>
                              </wps:spPr>
                              <wps:bodyPr/>
                            </wps:wsp>
                            <wps:wsp>
                              <wps:cNvPr id="91" name="直接箭头连接符 91"/>
                              <wps:cNvCnPr/>
                              <wps:spPr>
                                <a:xfrm flipH="1">
                                  <a:off x="54360" y="32129"/>
                                  <a:ext cx="5041" cy="5041"/>
                                </a:xfrm>
                                <a:prstGeom prst="straightConnector1">
                                  <a:avLst/>
                                </a:prstGeom>
                                <a:ln w="12700" cap="flat" cmpd="sng">
                                  <a:solidFill>
                                    <a:srgbClr val="000000"/>
                                  </a:solidFill>
                                  <a:prstDash val="dash"/>
                                  <a:headEnd type="none" w="med" len="med"/>
                                  <a:tailEnd type="triangle" w="lg" len="lg"/>
                                </a:ln>
                              </wps:spPr>
                              <wps:bodyPr/>
                            </wps:wsp>
                            <wps:wsp>
                              <wps:cNvPr id="92" name="直接箭头连接符 92"/>
                              <wps:cNvCnPr/>
                              <wps:spPr>
                                <a:xfrm flipH="1" flipV="1">
                                  <a:off x="53640" y="22048"/>
                                  <a:ext cx="5761" cy="5041"/>
                                </a:xfrm>
                                <a:prstGeom prst="straightConnector1">
                                  <a:avLst/>
                                </a:prstGeom>
                                <a:ln w="12700" cap="flat" cmpd="sng">
                                  <a:solidFill>
                                    <a:srgbClr val="000000"/>
                                  </a:solidFill>
                                  <a:prstDash val="dash"/>
                                  <a:headEnd type="none" w="med" len="med"/>
                                  <a:tailEnd type="triangle" w="lg" len="lg"/>
                                </a:ln>
                              </wps:spPr>
                              <wps:bodyPr/>
                            </wps:wsp>
                            <wps:wsp>
                              <wps:cNvPr id="93" name="直接箭头连接符 93"/>
                              <wps:cNvCnPr/>
                              <wps:spPr>
                                <a:xfrm flipV="1">
                                  <a:off x="18356" y="19888"/>
                                  <a:ext cx="22323" cy="7201"/>
                                </a:xfrm>
                                <a:prstGeom prst="straightConnector1">
                                  <a:avLst/>
                                </a:prstGeom>
                                <a:ln w="12700" cap="flat" cmpd="sng">
                                  <a:solidFill>
                                    <a:srgbClr val="000000"/>
                                  </a:solidFill>
                                  <a:prstDash val="dash"/>
                                  <a:headEnd type="none" w="med" len="med"/>
                                  <a:tailEnd type="triangle" w="lg" len="lg"/>
                                </a:ln>
                              </wps:spPr>
                              <wps:bodyPr/>
                            </wps:wsp>
                            <wps:wsp>
                              <wps:cNvPr id="94" name="直接箭头连接符 94"/>
                              <wps:cNvCnPr/>
                              <wps:spPr>
                                <a:xfrm flipH="1" flipV="1">
                                  <a:off x="53069" y="19745"/>
                                  <a:ext cx="22318" cy="7200"/>
                                </a:xfrm>
                                <a:prstGeom prst="straightConnector1">
                                  <a:avLst/>
                                </a:prstGeom>
                                <a:ln w="12700" cap="flat" cmpd="sng">
                                  <a:solidFill>
                                    <a:srgbClr val="000000"/>
                                  </a:solidFill>
                                  <a:prstDash val="dash"/>
                                  <a:headEnd type="none" w="med" len="med"/>
                                  <a:tailEnd type="triangle" w="lg" len="lg"/>
                                </a:ln>
                              </wps:spPr>
                              <wps:bodyPr/>
                            </wps:wsp>
                            <wps:wsp>
                              <wps:cNvPr id="95" name="直接箭头连接符 95"/>
                              <wps:cNvCnPr/>
                              <wps:spPr>
                                <a:xfrm flipH="1">
                                  <a:off x="54360" y="32129"/>
                                  <a:ext cx="21603" cy="7921"/>
                                </a:xfrm>
                                <a:prstGeom prst="straightConnector1">
                                  <a:avLst/>
                                </a:prstGeom>
                                <a:ln w="12700" cap="flat" cmpd="sng">
                                  <a:solidFill>
                                    <a:srgbClr val="000000"/>
                                  </a:solidFill>
                                  <a:prstDash val="dash"/>
                                  <a:headEnd type="none" w="med" len="med"/>
                                  <a:tailEnd type="triangle" w="lg" len="lg"/>
                                </a:ln>
                              </wps:spPr>
                              <wps:bodyPr/>
                            </wps:wsp>
                          </wpg:wgp>
                        </a:graphicData>
                      </a:graphic>
                    </wp:anchor>
                  </w:drawing>
                </mc:Choice>
                <mc:Fallback>
                  <w:pict>
                    <v:group id="_x0000_s1026" o:spid="_x0000_s1026" o:spt="203" style="position:absolute;left:0pt;margin-left:0.65pt;margin-top:2.9pt;height:117.9pt;width:401.8pt;mso-wrap-distance-bottom:0pt;mso-wrap-distance-top:0pt;z-index:251659264;mso-width-relative:page;mso-height-relative:page;" coordorigin="7207,17728" coordsize="79453,23762" o:gfxdata="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AqgYyI1gAAAAcBAAAPAAAAAAAAAAEAIAAAACIAAABkcnMvZG93bnJldi54bWxQ&#10;SwECFAAUAAAACACHTuJAaZty/t8GAACuOQAADgAAAAAAAAABACAAAAAlAQAAZHJzL2Uyb0RvYy54&#10;bWxQSwUGAAAAAAYABgBZAQAAdgoAAAAA&#10;">
                      <o:lock v:ext="edit" aspectratio="f"/>
                      <v:rect id="_x0000_s1026" o:spid="_x0000_s1026" o:spt="1" style="position:absolute;left:26625;top:25457;height:7487;width:10490;v-text-anchor:middle;" filled="f" stroked="t" coordsize="21600,21600" o:gfxdata="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yqV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hint="eastAsia" w:asciiTheme="minorHAnsi" w:eastAsiaTheme="minorEastAsia" w:cstheme="minorBidi"/>
                                  <w:color w:val="000000" w:themeColor="text1"/>
                                  <w:kern w:val="24"/>
                                  <w:sz w:val="18"/>
                                  <w:szCs w:val="18"/>
                                  <w:lang w:val="en-US" w:eastAsia="zh-CN"/>
                                  <w14:textFill>
                                    <w14:solidFill>
                                      <w14:schemeClr w14:val="tx1"/>
                                    </w14:solidFill>
                                  </w14:textFill>
                                </w:rPr>
                                <w:t>设备基础</w:t>
                              </w:r>
                              <w:r>
                                <w:rPr>
                                  <w:rFonts w:asciiTheme="minorHAnsi" w:eastAsiaTheme="minorEastAsia" w:cstheme="minorBidi"/>
                                  <w:color w:val="000000" w:themeColor="text1"/>
                                  <w:kern w:val="24"/>
                                  <w:sz w:val="18"/>
                                  <w:szCs w:val="18"/>
                                  <w14:textFill>
                                    <w14:solidFill>
                                      <w14:schemeClr w14:val="tx1"/>
                                    </w14:solidFill>
                                  </w14:textFill>
                                </w:rPr>
                                <w:t>施工</w:t>
                              </w:r>
                            </w:p>
                            <w:p/>
                          </w:txbxContent>
                        </v:textbox>
                      </v:rect>
                      <v:shape id="_x0000_s1026" o:spid="_x0000_s1026" o:spt="32" type="#_x0000_t32" style="position:absolute;left:37111;top:29199;flip:y;height:9;width:3210;" filled="f" stroked="t" coordsize="21600,21600" o:gfxdata="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TWx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75249;top:27573;height:4314;width:11411;v-text-anchor:middle;" filled="f" stroked="t" coordsize="21600,21600" o:gfxdata="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F5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现场清理</w:t>
                              </w:r>
                            </w:p>
                          </w:txbxContent>
                        </v:textbox>
                      </v:rect>
                      <v:shape id="_x0000_s1026" o:spid="_x0000_s1026" o:spt="32" type="#_x0000_t32" style="position:absolute;left:22780;top:29735;height:135;width:4034;" filled="f" stroked="t" coordsize="21600,21600" o:gfxdata="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R/t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59408;top:27573;height:4314;width:11263;v-text-anchor:middle;" filled="f" stroked="t" coordsize="21600,21600" o:gfxdata="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CyW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表面修整</w:t>
                              </w:r>
                            </w:p>
                          </w:txbxContent>
                        </v:textbox>
                      </v:rect>
                      <v:rect id="_x0000_s1026" o:spid="_x0000_s1026" o:spt="1" style="position:absolute;left:40322;top:27568;height:4318;width:11438;v-text-anchor:middle;" filled="f" stroked="t" coordsize="21600,21600" o:gfxdata="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KsuG8AAAA&#10;2w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设备安装</w:t>
                              </w:r>
                            </w:p>
                            <w:p/>
                          </w:txbxContent>
                        </v:textbox>
                      </v:rect>
                      <v:shape id="_x0000_s1026" o:spid="_x0000_s1026" o:spt="32" type="#_x0000_t32" style="position:absolute;left:51756;top:29723;flip:y;height:9;width:7648;" filled="f" stroked="t" coordsize="21600,21600" o:gfxdata="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pYp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7207;top:27573;height:4314;width:15572;v-text-anchor:middle;" filled="f" stroked="t" coordsize="21600,21600" o:gfxdata="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mDCLsAAADb&#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pStyle w:val="17"/>
                                <w:jc w:val="center"/>
                                <w:textAlignment w:val="baseline"/>
                                <w:rPr>
                                  <w:rFonts w:hint="eastAsia" w:eastAsiaTheme="minorEastAsia"/>
                                  <w:sz w:val="18"/>
                                  <w:szCs w:val="18"/>
                                  <w:lang w:eastAsia="zh-CN"/>
                                </w:rPr>
                              </w:pPr>
                              <w:r>
                                <w:rPr>
                                  <w:rFonts w:asciiTheme="minorHAnsi" w:eastAsiaTheme="minorEastAsia" w:cstheme="minorBidi"/>
                                  <w:color w:val="000000" w:themeColor="text1"/>
                                  <w:kern w:val="24"/>
                                  <w:sz w:val="18"/>
                                  <w:szCs w:val="18"/>
                                  <w14:textFill>
                                    <w14:solidFill>
                                      <w14:schemeClr w14:val="tx1"/>
                                    </w14:solidFill>
                                  </w14:textFill>
                                </w:rPr>
                                <w:t>拆除</w:t>
                              </w:r>
                              <w:r>
                                <w:rPr>
                                  <w:rFonts w:hint="eastAsia" w:asciiTheme="minorHAnsi" w:eastAsiaTheme="minorEastAsia" w:cstheme="minorBidi"/>
                                  <w:color w:val="000000" w:themeColor="text1"/>
                                  <w:kern w:val="24"/>
                                  <w:sz w:val="18"/>
                                  <w:szCs w:val="18"/>
                                  <w:lang w:val="en-US" w:eastAsia="zh-CN"/>
                                  <w14:textFill>
                                    <w14:solidFill>
                                      <w14:schemeClr w14:val="tx1"/>
                                    </w14:solidFill>
                                  </w14:textFill>
                                </w:rPr>
                                <w:t>原设备</w:t>
                              </w:r>
                            </w:p>
                          </w:txbxContent>
                        </v:textbox>
                      </v:rect>
                      <v:shape id="_x0000_s1026" o:spid="_x0000_s1026" o:spt="32" type="#_x0000_t32" style="position:absolute;left:10072;top:34402;height:0;width:5032;rotation:5898240f;" filled="f" stroked="t" coordsize="21600,21600" o:gfxdata="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c2a8AAAA&#10;2wAAAA8AAAAAAAAAAQAgAAAAIgAAAGRycy9kb3ducmV2LnhtbFBLAQIUABQAAAAIAIdO4kAzLwWe&#10;OwAAADkAAAAQAAAAAAAAAAEAIAAAAAsBAABkcnMvc2hhcGV4bWwueG1sUEsFBgAAAAAGAAYAWwEA&#10;ALUDAAAAAA==&#10;">
                        <v:fill on="f" focussize="0,0"/>
                        <v:stroke color="#000000" joinstyle="round" dashstyle="dash" endarrow="block" endarrowwidth="wide"/>
                        <v:imagedata o:title=""/>
                        <o:lock v:ext="edit" aspectratio="f"/>
                      </v:shape>
                      <v:shape id="_x0000_s1026" o:spid="_x0000_s1026" o:spt="32" type="#_x0000_t32" style="position:absolute;left:71215;top:29725;flip:y;height:106;width:4034;" filled="f" stroked="t" coordsize="21600,21600" o:gfxdata="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Ofnq5AAAA2wAA&#10;AA8AAAAAAAAAAQAgAAAAIgAAAGRycy9kb3ducmV2LnhtbFBLAQIUABQAAAAIAIdO4kAzLwWeOwAA&#10;ADkAAAAQAAAAAAAAAAEAIAAAAAgBAABkcnMvc2hhcGV4bWwueG1sUEsFBgAAAAAGAAYAWwEAALID&#10;AAAAAA==&#10;">
                        <v:fill on="f" focussize="0,0"/>
                        <v:stroke weight="1.25pt" color="#000000" joinstyle="round" endarrow="block" endarrowwidth="wide" endarrowlength="long"/>
                        <v:imagedata o:title=""/>
                        <o:lock v:ext="edit" aspectratio="f"/>
                      </v:shape>
                      <v:shape id="_x0000_s1026" o:spid="_x0000_s1026" o:spt="32" type="#_x0000_t32" style="position:absolute;left:44521;top:34529;height:0;width:5032;rotation:5898240f;" filled="f" stroked="t" coordsize="21600,21600" o:gfxdata="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KWm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77970;top:34529;height:0;width:5032;rotation:5898240f;" filled="f" stroked="t" coordsize="21600,21600" o:gfxdata="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ltx6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rect id="_x0000_s1026" o:spid="_x0000_s1026" o:spt="1" style="position:absolute;left:7207;top:36918;height:4318;width:11144;v-text-anchor:middle;" filled="f" stroked="t" coordsize="21600,21600" o:gfxdata="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840G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v:textbox>
                      </v:rect>
                      <v:rect id="_x0000_s1026" o:spid="_x0000_s1026" o:spt="1" style="position:absolute;left:40719;top:37172;height:4318;width:13113;v-text-anchor:middle;" filled="f" stroked="t" coordsize="21600,21600" o:gfxdata="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VezW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噪声</w:t>
                              </w:r>
                            </w:p>
                          </w:txbxContent>
                        </v:textbox>
                      </v:rect>
                      <v:rect id="_x0000_s1026" o:spid="_x0000_s1026" o:spt="1" style="position:absolute;left:41399;top:17728;height:4318;width:11160;v-text-anchor:middle;" filled="f" stroked="t" coordsize="21600,21600" o:gfxdata="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Z3q6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扬尘</w:t>
                              </w:r>
                            </w:p>
                          </w:txbxContent>
                        </v:textbox>
                      </v:rect>
                      <v:rect id="_x0000_s1026" o:spid="_x0000_s1026" o:spt="1" style="position:absolute;left:75342;top:37172;height:4318;width:11160;v-text-anchor:middle;" filled="f" stroked="t" coordsize="21600,21600" o:gfxdata="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QNm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v:textbox>
                      </v:rect>
                      <v:shape id="_x0000_s1026" o:spid="_x0000_s1026" o:spt="32" type="#_x0000_t32" style="position:absolute;left:44643;top:24565;flip:y;height:0;width:5033;rotation:5898240f;" filled="f" stroked="t" coordsize="21600,21600" o:gfxdata="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rWIL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7636;top:32129;height:5761;width:20883;" filled="f" stroked="t" coordsize="21600,21600" o:gfxdata="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7fb7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386;top:32855;height:4313;width:5576;" filled="f" stroked="t" coordsize="21600,21600" o:gfxdata="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nr0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5276;top:22050;flip:y;height:3698;width:6120;" filled="f" stroked="t" coordsize="21600,21600" o:gfxdata="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uC+b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5041;width:5041;" filled="f" stroked="t" coordsize="21600,21600" o:gfxdata="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cnY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640;top:22048;flip:x y;height:5041;width:5761;" filled="f" stroked="t" coordsize="21600,21600" o:gfxdata="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Peq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8356;top:19888;flip:y;height:7201;width:22323;" filled="f" stroked="t" coordsize="21600,21600" o:gfxdata="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kcj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069;top:19745;flip:x y;height:7200;width:22318;" filled="f" stroked="t" coordsize="21600,21600" o:gfxdata="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pF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7921;width:21603;" filled="f" stroked="t" coordsize="21600,21600" o:gfxdata="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hYb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w10:wrap type="topAndBottom"/>
                    </v:group>
                  </w:pict>
                </mc:Fallback>
              </mc:AlternateContent>
            </w:r>
          </w:p>
          <w:p>
            <w:pPr>
              <w:pStyle w:val="47"/>
              <w:numPr>
                <w:ilvl w:val="0"/>
                <w:numId w:val="7"/>
              </w:numPr>
              <w:adjustRightInd w:val="0"/>
              <w:snapToGrid w:val="0"/>
              <w:ind w:left="0" w:firstLine="0" w:firstLineChars="0"/>
              <w:jc w:val="center"/>
              <w:rPr>
                <w:rFonts w:ascii="Times New Roman" w:hAnsi="Times New Roman" w:eastAsiaTheme="minorEastAsia"/>
                <w:b/>
                <w:bCs/>
                <w:color w:val="000000" w:themeColor="text1"/>
                <w:szCs w:val="21"/>
                <w:highlight w:val="none"/>
                <w14:textFill>
                  <w14:solidFill>
                    <w14:schemeClr w14:val="tx1"/>
                  </w14:solidFill>
                </w14:textFill>
              </w:rPr>
            </w:pPr>
            <w:r>
              <w:rPr>
                <w:rFonts w:ascii="Times New Roman" w:hAnsi="Times New Roman" w:eastAsiaTheme="minorEastAsia"/>
                <w:b/>
                <w:bCs/>
                <w:color w:val="000000" w:themeColor="text1"/>
                <w:szCs w:val="21"/>
                <w:highlight w:val="none"/>
                <w14:textFill>
                  <w14:solidFill>
                    <w14:schemeClr w14:val="tx1"/>
                  </w14:solidFill>
                </w14:textFill>
              </w:rPr>
              <w:t>施工期工艺流程图</w:t>
            </w:r>
          </w:p>
          <w:p>
            <w:pPr>
              <w:spacing w:line="336"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2、</w:t>
            </w:r>
            <w:r>
              <w:rPr>
                <w:rFonts w:hint="eastAsia" w:ascii="宋体" w:hAnsi="宋体" w:eastAsia="宋体" w:cs="宋体"/>
                <w:b/>
                <w:bCs/>
                <w:color w:val="000000" w:themeColor="text1"/>
                <w:sz w:val="24"/>
                <w:highlight w:val="none"/>
                <w14:textFill>
                  <w14:solidFill>
                    <w14:schemeClr w14:val="tx1"/>
                  </w14:solidFill>
                </w14:textFill>
              </w:rPr>
              <w:t>运营期</w:t>
            </w:r>
          </w:p>
          <w:p>
            <w:pPr>
              <w:spacing w:line="336"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锅炉鼓风系统</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主要对热能中心</w:t>
            </w:r>
            <w:r>
              <w:rPr>
                <w:rFonts w:hint="eastAsia" w:ascii="Times New Roman" w:hAnsi="Times New Roman"/>
                <w:color w:val="000000" w:themeColor="text1"/>
                <w:sz w:val="24"/>
                <w:highlight w:val="none"/>
                <w:lang w:val="en-US" w:eastAsia="zh-CN"/>
                <w14:textFill>
                  <w14:solidFill>
                    <w14:schemeClr w14:val="tx1"/>
                  </w14:solidFill>
                </w14:textFill>
              </w:rPr>
              <w:t>锅炉鼓风系统进行改造，将一次鼓风机风量升级为75000m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/h，将现有45m高排气筒加高至55m</w:t>
            </w:r>
            <w:r>
              <w:rPr>
                <w:rFonts w:hint="eastAsia" w:ascii="Times New Roman" w:hAnsi="Times New Roman" w:cs="Times New Roman"/>
                <w:color w:val="000000" w:themeColor="text1"/>
                <w:sz w:val="24"/>
                <w:highlight w:val="none"/>
                <w:lang w:val="en-US" w:eastAsia="zh-CN"/>
                <w14:textFill>
                  <w14:solidFill>
                    <w14:schemeClr w14:val="tx1"/>
                  </w14:solidFill>
                </w14:textFill>
              </w:rPr>
              <w:t>。原项目热能中心现有45MW生物质锅炉1台，配套设置二级鼓风设备，热能中心产生的烟气经烟气净化器处理后，净化的烟气作为洁净烟气用于干燥湿刨花，最终干燥机尾气经旋风除尘器和湿式静电除尘系统处理后通过1根55m高排气筒（3#排气筒）排放。</w:t>
            </w:r>
          </w:p>
          <w:p>
            <w:pPr>
              <w:spacing w:line="336"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p>
          <w:p>
            <w:pPr>
              <w:pStyle w:val="81"/>
              <w:spacing w:line="240" w:lineRule="auto"/>
              <w:ind w:firstLine="0" w:firstLineChars="0"/>
              <w:jc w:val="center"/>
              <w:rPr>
                <w:rFonts w:ascii="Times New Roman" w:hAnsi="Times New Roman" w:cs="Times New Roman"/>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594860" cy="4010025"/>
                  <wp:effectExtent l="0" t="0" r="15240" b="952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0"/>
                          <a:stretch>
                            <a:fillRect/>
                          </a:stretch>
                        </pic:blipFill>
                        <pic:spPr>
                          <a:xfrm>
                            <a:off x="0" y="0"/>
                            <a:ext cx="4594860" cy="4010025"/>
                          </a:xfrm>
                          <a:prstGeom prst="rect">
                            <a:avLst/>
                          </a:prstGeom>
                          <a:noFill/>
                          <a:ln>
                            <a:noFill/>
                          </a:ln>
                        </pic:spPr>
                      </pic:pic>
                    </a:graphicData>
                  </a:graphic>
                </wp:inline>
              </w:drawing>
            </w:r>
          </w:p>
          <w:p>
            <w:pPr>
              <w:snapToGrid w:val="0"/>
              <w:spacing w:line="36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（排污节点：G废气；W废水；N噪声；S固体废物）</w:t>
            </w:r>
          </w:p>
          <w:p>
            <w:pPr>
              <w:keepNext w:val="0"/>
              <w:keepLines w:val="0"/>
              <w:pageBreakBefore w:val="0"/>
              <w:widowControl w:val="0"/>
              <w:numPr>
                <w:ilvl w:val="0"/>
                <w:numId w:val="7"/>
              </w:numPr>
              <w:kinsoku/>
              <w:wordWrap/>
              <w:overflowPunct/>
              <w:topLinePunct w:val="0"/>
              <w:autoSpaceDE/>
              <w:autoSpaceDN/>
              <w:bidi w:val="0"/>
              <w:adjustRightInd/>
              <w:snapToGrid/>
              <w:spacing w:after="2497" w:afterLines="800" w:line="360" w:lineRule="auto"/>
              <w:ind w:left="0" w:firstLine="0"/>
              <w:jc w:val="center"/>
              <w:textAlignment w:val="auto"/>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运营期</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鼓风机</w:t>
            </w:r>
            <w:r>
              <w:rPr>
                <w:rFonts w:ascii="Times New Roman" w:hAnsi="Times New Roman" w:cs="Times New Roman"/>
                <w:b/>
                <w:bCs/>
                <w:color w:val="000000" w:themeColor="text1"/>
                <w:szCs w:val="21"/>
                <w:highlight w:val="none"/>
                <w14:textFill>
                  <w14:solidFill>
                    <w14:schemeClr w14:val="tx1"/>
                  </w14:solidFill>
                </w14:textFill>
              </w:rPr>
              <w:t>主要流程及产污节点图</w:t>
            </w:r>
          </w:p>
          <w:p>
            <w:pPr>
              <w:numPr>
                <w:ilvl w:val="0"/>
                <w:numId w:val="6"/>
              </w:numPr>
              <w:adjustRightInd w:val="0"/>
              <w:snapToGrid w:val="0"/>
              <w:spacing w:line="360" w:lineRule="auto"/>
              <w:ind w:left="0" w:firstLine="0"/>
              <w:jc w:val="center"/>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14:textFill>
                  <w14:solidFill>
                    <w14:schemeClr w14:val="tx1"/>
                  </w14:solidFill>
                </w14:textFill>
              </w:rPr>
              <w:t>主要排污节点一览表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98"/>
              <w:gridCol w:w="908"/>
              <w:gridCol w:w="1035"/>
              <w:gridCol w:w="944"/>
              <w:gridCol w:w="3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57"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类别</w:t>
                  </w:r>
                </w:p>
              </w:tc>
              <w:tc>
                <w:tcPr>
                  <w:tcW w:w="665"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污染源</w:t>
                  </w:r>
                </w:p>
              </w:tc>
              <w:tc>
                <w:tcPr>
                  <w:tcW w:w="550"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污染物名称</w:t>
                  </w:r>
                </w:p>
              </w:tc>
              <w:tc>
                <w:tcPr>
                  <w:tcW w:w="627"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污染因子</w:t>
                  </w:r>
                </w:p>
              </w:tc>
              <w:tc>
                <w:tcPr>
                  <w:tcW w:w="572"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产生特征</w:t>
                  </w:r>
                </w:p>
              </w:tc>
              <w:tc>
                <w:tcPr>
                  <w:tcW w:w="2326"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污染治理措施及去向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废气</w:t>
                  </w:r>
                </w:p>
              </w:tc>
              <w:tc>
                <w:tcPr>
                  <w:tcW w:w="665"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干燥机</w:t>
                  </w:r>
                </w:p>
              </w:tc>
              <w:tc>
                <w:tcPr>
                  <w:tcW w:w="550"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干燥尾气</w:t>
                  </w:r>
                </w:p>
              </w:tc>
              <w:tc>
                <w:tcPr>
                  <w:tcW w:w="627"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颗粒物、SO</w:t>
                  </w:r>
                  <w:r>
                    <w:rPr>
                      <w:rFonts w:ascii="Times New Roman" w:hAnsi="Times New Roman" w:cs="Times New Roman"/>
                      <w:color w:val="000000" w:themeColor="text1"/>
                      <w:szCs w:val="21"/>
                      <w:highlight w:val="none"/>
                      <w:vertAlign w:val="subscript"/>
                      <w14:textFill>
                        <w14:solidFill>
                          <w14:schemeClr w14:val="tx1"/>
                        </w14:solidFill>
                      </w14:textFill>
                    </w:rPr>
                    <w:t>2</w:t>
                  </w:r>
                  <w:r>
                    <w:rPr>
                      <w:rFonts w:ascii="Times New Roman" w:hAnsi="Times New Roman" w:cs="Times New Roman"/>
                      <w:color w:val="000000" w:themeColor="text1"/>
                      <w:szCs w:val="21"/>
                      <w:highlight w:val="none"/>
                      <w14:textFill>
                        <w14:solidFill>
                          <w14:schemeClr w14:val="tx1"/>
                        </w14:solidFill>
                      </w14:textFill>
                    </w:rPr>
                    <w:t>、NO</w:t>
                  </w:r>
                  <w:r>
                    <w:rPr>
                      <w:rFonts w:ascii="Times New Roman" w:hAnsi="Times New Roman" w:cs="Times New Roman"/>
                      <w:color w:val="000000" w:themeColor="text1"/>
                      <w:szCs w:val="21"/>
                      <w:highlight w:val="none"/>
                      <w:vertAlign w:val="subscript"/>
                      <w14:textFill>
                        <w14:solidFill>
                          <w14:schemeClr w14:val="tx1"/>
                        </w14:solidFill>
                      </w14:textFill>
                    </w:rPr>
                    <w:t>X</w:t>
                  </w:r>
                </w:p>
              </w:tc>
              <w:tc>
                <w:tcPr>
                  <w:tcW w:w="572"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连续</w:t>
                  </w:r>
                </w:p>
              </w:tc>
              <w:tc>
                <w:tcPr>
                  <w:tcW w:w="2326" w:type="pct"/>
                  <w:tcBorders>
                    <w:bottom w:val="single" w:color="000000" w:sz="6" w:space="0"/>
                  </w:tcBorders>
                  <w:vAlign w:val="center"/>
                </w:tcPr>
                <w:p>
                  <w:pPr>
                    <w:jc w:val="center"/>
                    <w:rPr>
                      <w:rFonts w:eastAsiaTheme="minorEastAsia"/>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热能中心产生的</w:t>
                  </w:r>
                  <w:r>
                    <w:rPr>
                      <w:rFonts w:hint="eastAsia" w:cs="Times New Roman"/>
                      <w:bCs/>
                      <w:color w:val="000000" w:themeColor="text1"/>
                      <w:spacing w:val="9"/>
                      <w:szCs w:val="21"/>
                      <w:highlight w:val="none"/>
                      <w:lang w:val="en-US" w:eastAsia="zh-CN"/>
                      <w14:textFill>
                        <w14:solidFill>
                          <w14:schemeClr w14:val="tx1"/>
                        </w14:solidFill>
                      </w14:textFill>
                    </w:rPr>
                    <w:t>烟</w:t>
                  </w:r>
                  <w:r>
                    <w:rPr>
                      <w:rFonts w:hint="eastAsia" w:cs="Times New Roman"/>
                      <w:bCs/>
                      <w:color w:val="000000" w:themeColor="text1"/>
                      <w:spacing w:val="9"/>
                      <w:szCs w:val="21"/>
                      <w:highlight w:val="none"/>
                      <w14:textFill>
                        <w14:solidFill>
                          <w14:schemeClr w14:val="tx1"/>
                        </w14:solidFill>
                      </w14:textFill>
                    </w:rPr>
                    <w:t>气</w:t>
                  </w:r>
                  <w:r>
                    <w:rPr>
                      <w:rFonts w:hint="eastAsia" w:ascii="Times New Roman" w:hAnsi="Times New Roman" w:cs="Times New Roman"/>
                      <w:bCs/>
                      <w:color w:val="000000" w:themeColor="text1"/>
                      <w:spacing w:val="9"/>
                      <w:szCs w:val="21"/>
                      <w:highlight w:val="none"/>
                      <w14:textFill>
                        <w14:solidFill>
                          <w14:schemeClr w14:val="tx1"/>
                        </w14:solidFill>
                      </w14:textFill>
                    </w:rPr>
                    <w:t>经</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烟气净化器净化后产生的洁净烟气进入干燥机干燥湿刨花。干燥尾气先后经旋风除尘器</w:t>
                  </w:r>
                  <w:r>
                    <w:rPr>
                      <w:rFonts w:hint="eastAsia" w:ascii="Times New Roman" w:hAnsi="Times New Roman" w:cs="Times New Roman"/>
                      <w:bCs/>
                      <w:color w:val="000000" w:themeColor="text1"/>
                      <w:spacing w:val="9"/>
                      <w:szCs w:val="21"/>
                      <w:highlight w:val="none"/>
                      <w14:textFill>
                        <w14:solidFill>
                          <w14:schemeClr w14:val="tx1"/>
                        </w14:solidFill>
                      </w14:textFill>
                    </w:rPr>
                    <w:t>、湿式静电除尘器处理后，由现有</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55</w:t>
                  </w:r>
                  <w:r>
                    <w:rPr>
                      <w:rFonts w:hint="eastAsia" w:ascii="Times New Roman" w:hAnsi="Times New Roman" w:cs="Times New Roman"/>
                      <w:bCs/>
                      <w:color w:val="000000" w:themeColor="text1"/>
                      <w:spacing w:val="9"/>
                      <w:szCs w:val="21"/>
                      <w:highlight w:val="none"/>
                      <w14:textFill>
                        <w14:solidFill>
                          <w14:schemeClr w14:val="tx1"/>
                        </w14:solidFill>
                      </w14:textFill>
                    </w:rPr>
                    <w:t>m高排气筒（</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3#</w:t>
                  </w:r>
                  <w:r>
                    <w:rPr>
                      <w:rFonts w:hint="eastAsia" w:ascii="Times New Roman" w:hAnsi="Times New Roman" w:cs="Times New Roman"/>
                      <w:bCs/>
                      <w:color w:val="000000" w:themeColor="text1"/>
                      <w:spacing w:val="9"/>
                      <w:szCs w:val="21"/>
                      <w:highlight w:val="none"/>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665" w:type="pct"/>
                  <w:vAlign w:val="center"/>
                </w:tcPr>
                <w:p>
                  <w:pPr>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鼓风设备</w:t>
                  </w:r>
                </w:p>
              </w:tc>
              <w:tc>
                <w:tcPr>
                  <w:tcW w:w="550"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627"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572"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连续</w:t>
                  </w:r>
                </w:p>
              </w:tc>
              <w:tc>
                <w:tcPr>
                  <w:tcW w:w="2326"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选用低噪声设备、减震基础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665"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锅炉</w:t>
                  </w:r>
                </w:p>
              </w:tc>
              <w:tc>
                <w:tcPr>
                  <w:tcW w:w="550"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627"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572"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连续</w:t>
                  </w:r>
                </w:p>
              </w:tc>
              <w:tc>
                <w:tcPr>
                  <w:tcW w:w="2326"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665" w:type="pct"/>
                  <w:vAlign w:val="center"/>
                </w:tcPr>
                <w:p>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干燥机</w:t>
                  </w:r>
                </w:p>
              </w:tc>
              <w:tc>
                <w:tcPr>
                  <w:tcW w:w="550"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627"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572"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连续</w:t>
                  </w:r>
                </w:p>
              </w:tc>
              <w:tc>
                <w:tcPr>
                  <w:tcW w:w="2326"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Merge w:val="restart"/>
                  <w:vAlign w:val="center"/>
                </w:tcPr>
                <w:p>
                  <w:pPr>
                    <w:spacing w:line="320" w:lineRule="exact"/>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固废</w:t>
                  </w:r>
                </w:p>
              </w:tc>
              <w:tc>
                <w:tcPr>
                  <w:tcW w:w="665"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除尘器</w:t>
                  </w:r>
                </w:p>
              </w:tc>
              <w:tc>
                <w:tcPr>
                  <w:tcW w:w="550"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除尘灰</w:t>
                  </w:r>
                </w:p>
              </w:tc>
              <w:tc>
                <w:tcPr>
                  <w:tcW w:w="627"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除尘灰</w:t>
                  </w:r>
                </w:p>
              </w:tc>
              <w:tc>
                <w:tcPr>
                  <w:tcW w:w="572" w:type="pct"/>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间断</w:t>
                  </w:r>
                </w:p>
              </w:tc>
              <w:tc>
                <w:tcPr>
                  <w:tcW w:w="2326" w:type="pct"/>
                  <w:vMerge w:val="restart"/>
                  <w:vAlign w:val="center"/>
                </w:tcPr>
                <w:p>
                  <w:pPr>
                    <w:spacing w:line="320" w:lineRule="exact"/>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除尘灰送往热能中心作燃料，热能中心炉渣运至有机肥厂作为原料使用。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Merge w:val="continue"/>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p>
              </w:tc>
              <w:tc>
                <w:tcPr>
                  <w:tcW w:w="665"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锅炉</w:t>
                  </w:r>
                </w:p>
              </w:tc>
              <w:tc>
                <w:tcPr>
                  <w:tcW w:w="550"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炉渣</w:t>
                  </w:r>
                </w:p>
              </w:tc>
              <w:tc>
                <w:tcPr>
                  <w:tcW w:w="627"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炉渣</w:t>
                  </w:r>
                </w:p>
              </w:tc>
              <w:tc>
                <w:tcPr>
                  <w:tcW w:w="572" w:type="pct"/>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间断</w:t>
                  </w:r>
                </w:p>
              </w:tc>
              <w:tc>
                <w:tcPr>
                  <w:tcW w:w="2326" w:type="pct"/>
                  <w:vMerge w:val="continue"/>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p>
              </w:tc>
            </w:tr>
          </w:tbl>
          <w:p>
            <w:pPr>
              <w:adjustRightInd w:val="0"/>
              <w:snapToGrid w:val="0"/>
              <w:spacing w:line="360" w:lineRule="auto"/>
              <w:rPr>
                <w:color w:val="000000" w:themeColor="text1"/>
                <w:highlight w:val="none"/>
                <w14:textFill>
                  <w14:solidFill>
                    <w14:schemeClr w14:val="tx1"/>
                  </w14:solidFill>
                </w14:textFill>
              </w:rPr>
            </w:pPr>
          </w:p>
          <w:p>
            <w:pPr>
              <w:adjustRightInd w:val="0"/>
              <w:snapToGrid w:val="0"/>
              <w:spacing w:line="360" w:lineRule="auto"/>
              <w:rPr>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35" w:hRule="atLeast"/>
          <w:jc w:val="center"/>
        </w:trPr>
        <w:tc>
          <w:tcPr>
            <w:tcW w:w="492" w:type="dxa"/>
            <w:tcBorders>
              <w:top w:val="single" w:color="auto" w:sz="4" w:space="0"/>
              <w:left w:val="single" w:color="auto" w:sz="8" w:space="0"/>
              <w:bottom w:val="single" w:color="auto" w:sz="8" w:space="0"/>
              <w:right w:val="single" w:color="auto" w:sz="4" w:space="0"/>
            </w:tcBorders>
            <w:shd w:val="clear" w:color="auto" w:fill="auto"/>
            <w:vAlign w:val="center"/>
          </w:tcPr>
          <w:p>
            <w:pPr>
              <w:pStyle w:val="17"/>
              <w:adjustRightInd w:val="0"/>
              <w:snapToGrid w:val="0"/>
              <w:spacing w:beforeAutospacing="0" w:afterAutospacing="0"/>
              <w:jc w:val="center"/>
              <w:rPr>
                <w:rFonts w:hint="default" w:ascii="Times New Roman" w:hAnsi="Times New Roman"/>
                <w:color w:val="000000" w:themeColor="text1"/>
                <w:szCs w:val="24"/>
                <w:highlight w:val="none"/>
                <w14:textFill>
                  <w14:solidFill>
                    <w14:schemeClr w14:val="tx1"/>
                  </w14:solidFill>
                </w14:textFill>
              </w:rPr>
            </w:pPr>
            <w:r>
              <w:rPr>
                <w:rFonts w:hint="default" w:ascii="Times New Roman" w:hAnsi="Times New Roman"/>
                <w:bCs/>
                <w:color w:val="000000" w:themeColor="text1"/>
                <w:kern w:val="2"/>
                <w:szCs w:val="24"/>
                <w:highlight w:val="none"/>
                <w14:textFill>
                  <w14:solidFill>
                    <w14:schemeClr w14:val="tx1"/>
                  </w14:solidFill>
                </w14:textFill>
              </w:rPr>
              <w:t>与项目有关的原有环境污染问题</w:t>
            </w:r>
          </w:p>
        </w:tc>
        <w:tc>
          <w:tcPr>
            <w:tcW w:w="8478" w:type="dxa"/>
            <w:tcBorders>
              <w:top w:val="single" w:color="auto" w:sz="4" w:space="0"/>
              <w:left w:val="single" w:color="auto" w:sz="4" w:space="0"/>
              <w:bottom w:val="single" w:color="auto" w:sz="8" w:space="0"/>
              <w:right w:val="single" w:color="auto" w:sz="8" w:space="0"/>
            </w:tcBorders>
            <w:shd w:val="clear" w:color="auto" w:fill="auto"/>
            <w:vAlign w:val="center"/>
          </w:tcPr>
          <w:p>
            <w:pPr>
              <w:spacing w:line="360" w:lineRule="auto"/>
              <w:rPr>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与本项目有关的原有污染情况及主要环境问题:</w:t>
            </w:r>
          </w:p>
          <w:p>
            <w:pPr>
              <w:tabs>
                <w:tab w:val="left" w:pos="2500"/>
              </w:tabs>
              <w:adjustRightInd w:val="0"/>
              <w:snapToGrid w:val="0"/>
              <w:spacing w:line="360" w:lineRule="auto"/>
              <w:ind w:firstLine="482"/>
              <w:rPr>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1</w:t>
            </w:r>
            <w:r>
              <w:rPr>
                <w:rFonts w:ascii="Times New Roman" w:hAnsi="Times New Roman" w:cs="Times New Roman"/>
                <w:b/>
                <w:bCs/>
                <w:color w:val="000000" w:themeColor="text1"/>
                <w:sz w:val="24"/>
                <w:highlight w:val="none"/>
                <w14:textFill>
                  <w14:solidFill>
                    <w14:schemeClr w14:val="tx1"/>
                  </w14:solidFill>
                </w14:textFill>
              </w:rPr>
              <w:t>、</w:t>
            </w:r>
            <w:r>
              <w:rPr>
                <w:rFonts w:hint="eastAsia"/>
                <w:b/>
                <w:bCs/>
                <w:color w:val="000000" w:themeColor="text1"/>
                <w:sz w:val="24"/>
                <w:highlight w:val="none"/>
                <w14:textFill>
                  <w14:solidFill>
                    <w14:schemeClr w14:val="tx1"/>
                  </w14:solidFill>
                </w14:textFill>
              </w:rPr>
              <w:t>现有工程环评手续</w:t>
            </w:r>
          </w:p>
          <w:p>
            <w:pPr>
              <w:snapToGrid w:val="0"/>
              <w:spacing w:line="360" w:lineRule="auto"/>
              <w:ind w:firstLine="480" w:firstLineChars="200"/>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color w:val="000000" w:themeColor="text1"/>
                <w:sz w:val="24"/>
                <w:highlight w:val="none"/>
                <w:lang w:eastAsia="zh-CN"/>
                <w14:textFill>
                  <w14:solidFill>
                    <w14:schemeClr w14:val="tx1"/>
                  </w14:solidFill>
                </w14:textFill>
              </w:rPr>
              <w:t>承德森禧木业有限公司</w:t>
            </w:r>
            <w:r>
              <w:rPr>
                <w:rFonts w:hint="eastAsia" w:ascii="Times New Roman" w:hAnsi="Times New Roman"/>
                <w:color w:val="000000" w:themeColor="text1"/>
                <w:sz w:val="24"/>
                <w:highlight w:val="none"/>
                <w14:textFill>
                  <w14:solidFill>
                    <w14:schemeClr w14:val="tx1"/>
                  </w14:solidFill>
                </w14:textFill>
              </w:rPr>
              <w:t>坐落于承德市</w:t>
            </w:r>
            <w:r>
              <w:rPr>
                <w:rFonts w:hint="eastAsia" w:ascii="Times New Roman" w:hAnsi="Times New Roman"/>
                <w:color w:val="000000" w:themeColor="text1"/>
                <w:sz w:val="24"/>
                <w:highlight w:val="none"/>
                <w:lang w:eastAsia="zh-CN"/>
                <w14:textFill>
                  <w14:solidFill>
                    <w14:schemeClr w14:val="tx1"/>
                  </w14:solidFill>
                </w14:textFill>
              </w:rPr>
              <w:t>围场满族蒙古族自治县围场镇金字村</w:t>
            </w:r>
            <w:r>
              <w:rPr>
                <w:rFonts w:hint="eastAsia" w:ascii="Times New Roman" w:hAnsi="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厂区占地16.51公顷（248亩）</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主要建设超强刨花板连续热压生产线，产品为超强刨花板，设计年产超强刨花板30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万m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14:textFill>
                  <w14:solidFill>
                    <w14:schemeClr w14:val="tx1"/>
                  </w14:solidFill>
                </w14:textFill>
              </w:rPr>
              <w:t>。公司具体环评手续履行情况见下表，环评批复见附件。</w:t>
            </w:r>
          </w:p>
          <w:p>
            <w:pPr>
              <w:numPr>
                <w:ilvl w:val="0"/>
                <w:numId w:val="6"/>
              </w:numPr>
              <w:snapToGrid w:val="0"/>
              <w:spacing w:line="360" w:lineRule="auto"/>
              <w:ind w:left="0" w:firstLine="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环评</w:t>
            </w:r>
            <w:r>
              <w:rPr>
                <w:rFonts w:hint="eastAsia" w:ascii="Times New Roman" w:hAnsi="Times New Roman" w:eastAsia="宋体" w:cs="Times New Roman"/>
                <w:b/>
                <w:bCs/>
                <w:color w:val="000000" w:themeColor="text1"/>
                <w:szCs w:val="21"/>
                <w:highlight w:val="none"/>
                <w14:textFill>
                  <w14:solidFill>
                    <w14:schemeClr w14:val="tx1"/>
                  </w14:solidFill>
                </w14:textFill>
              </w:rPr>
              <w:t>、</w:t>
            </w:r>
            <w:r>
              <w:rPr>
                <w:rFonts w:ascii="Times New Roman" w:hAnsi="Times New Roman" w:eastAsia="宋体" w:cs="Times New Roman"/>
                <w:b/>
                <w:bCs/>
                <w:color w:val="000000" w:themeColor="text1"/>
                <w:szCs w:val="21"/>
                <w:highlight w:val="none"/>
                <w14:textFill>
                  <w14:solidFill>
                    <w14:schemeClr w14:val="tx1"/>
                  </w14:solidFill>
                </w14:textFill>
              </w:rPr>
              <w:t>批复及验收情况一览表</w:t>
            </w:r>
          </w:p>
          <w:tbl>
            <w:tblPr>
              <w:tblStyle w:val="22"/>
              <w:tblW w:w="4972" w:type="pct"/>
              <w:tblInd w:w="0" w:type="dxa"/>
              <w:tblBorders>
                <w:top w:val="single" w:color="000000" w:sz="8" w:space="0"/>
                <w:left w:val="single" w:color="000000" w:sz="8" w:space="0"/>
                <w:bottom w:val="single" w:color="000000" w:sz="8"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
            <w:tblGrid>
              <w:gridCol w:w="219"/>
              <w:gridCol w:w="860"/>
              <w:gridCol w:w="957"/>
              <w:gridCol w:w="1896"/>
              <w:gridCol w:w="952"/>
              <w:gridCol w:w="765"/>
              <w:gridCol w:w="817"/>
              <w:gridCol w:w="693"/>
              <w:gridCol w:w="1042"/>
            </w:tblGrid>
            <w:tr>
              <w:tblPrEx>
                <w:tblBorders>
                  <w:top w:val="single" w:color="000000" w:sz="8" w:space="0"/>
                  <w:left w:val="single" w:color="000000" w:sz="8" w:space="0"/>
                  <w:bottom w:val="single" w:color="000000" w:sz="8"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4" w:type="pct"/>
                  <w:vMerge w:val="restar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序号</w:t>
                  </w:r>
                </w:p>
              </w:tc>
              <w:tc>
                <w:tcPr>
                  <w:tcW w:w="524" w:type="pct"/>
                  <w:vMerge w:val="restar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项目名称</w:t>
                  </w:r>
                </w:p>
              </w:tc>
              <w:tc>
                <w:tcPr>
                  <w:tcW w:w="583" w:type="pct"/>
                  <w:vMerge w:val="restar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主要建设内容</w:t>
                  </w:r>
                </w:p>
              </w:tc>
              <w:tc>
                <w:tcPr>
                  <w:tcW w:w="1735" w:type="pct"/>
                  <w:gridSpan w:val="2"/>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环评</w:t>
                  </w:r>
                </w:p>
              </w:tc>
              <w:tc>
                <w:tcPr>
                  <w:tcW w:w="1386" w:type="pct"/>
                  <w:gridSpan w:val="3"/>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验收</w:t>
                  </w:r>
                </w:p>
              </w:tc>
              <w:tc>
                <w:tcPr>
                  <w:tcW w:w="635" w:type="pct"/>
                  <w:vMerge w:val="restart"/>
                  <w:tcBorders>
                    <w:top w:val="single" w:color="000000" w:sz="4" w:space="0"/>
                    <w:left w:val="single" w:color="000000" w:sz="4" w:space="0"/>
                    <w:bottom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备注</w:t>
                  </w:r>
                </w:p>
              </w:tc>
            </w:tr>
            <w:tr>
              <w:tblPrEx>
                <w:tblBorders>
                  <w:top w:val="single" w:color="000000" w:sz="8" w:space="0"/>
                  <w:left w:val="single" w:color="000000" w:sz="8" w:space="0"/>
                  <w:bottom w:val="single" w:color="000000" w:sz="8"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4" w:type="pct"/>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524" w:type="pct"/>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583" w:type="pct"/>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1155"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批准文号</w:t>
                  </w:r>
                </w:p>
              </w:tc>
              <w:tc>
                <w:tcPr>
                  <w:tcW w:w="580"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批准时间</w:t>
                  </w:r>
                </w:p>
              </w:tc>
              <w:tc>
                <w:tcPr>
                  <w:tcW w:w="466"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验收部门</w:t>
                  </w:r>
                </w:p>
              </w:tc>
              <w:tc>
                <w:tcPr>
                  <w:tcW w:w="498"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验收文号</w:t>
                  </w:r>
                </w:p>
              </w:tc>
              <w:tc>
                <w:tcPr>
                  <w:tcW w:w="421"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验收时间</w:t>
                  </w:r>
                </w:p>
              </w:tc>
              <w:tc>
                <w:tcPr>
                  <w:tcW w:w="635" w:type="pct"/>
                  <w:vMerge w:val="continue"/>
                  <w:tcBorders>
                    <w:top w:val="nil"/>
                    <w:left w:val="single" w:color="000000" w:sz="4" w:space="0"/>
                    <w:bottom w:val="single" w:color="000000" w:sz="4" w:space="0"/>
                  </w:tcBorders>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4"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w:t>
                  </w:r>
                </w:p>
              </w:tc>
              <w:tc>
                <w:tcPr>
                  <w:tcW w:w="524"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承德森禧木业有限公司</w:t>
                  </w:r>
                  <w:r>
                    <w:rPr>
                      <w:rFonts w:hint="eastAsia" w:ascii="Times New Roman" w:hAnsi="Times New Roman" w:cs="Times New Roman"/>
                      <w:color w:val="000000" w:themeColor="text1"/>
                      <w:szCs w:val="21"/>
                      <w:highlight w:val="none"/>
                      <w14:textFill>
                        <w14:solidFill>
                          <w14:schemeClr w14:val="tx1"/>
                        </w14:solidFill>
                      </w14:textFill>
                    </w:rPr>
                    <w:t>京津冀生态板材产业园项目</w:t>
                  </w:r>
                </w:p>
              </w:tc>
              <w:tc>
                <w:tcPr>
                  <w:tcW w:w="583"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hint="eastAsia"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年产30</w:t>
                  </w:r>
                  <w:r>
                    <w:rPr>
                      <w:rFonts w:hint="eastAsia" w:ascii="Times New Roman" w:hAnsi="Times New Roman" w:cs="Times New Roman"/>
                      <w:color w:val="000000" w:themeColor="text1"/>
                      <w:szCs w:val="21"/>
                      <w:highlight w:val="none"/>
                      <w:lang w:val="en-US" w:eastAsia="zh-CN"/>
                      <w14:textFill>
                        <w14:solidFill>
                          <w14:schemeClr w14:val="tx1"/>
                        </w14:solidFill>
                      </w14:textFill>
                    </w:rPr>
                    <w:t>万m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14:textFill>
                        <w14:solidFill>
                          <w14:schemeClr w14:val="tx1"/>
                        </w14:solidFill>
                      </w14:textFill>
                    </w:rPr>
                    <w:t>超强刨花板</w:t>
                  </w:r>
                  <w:r>
                    <w:rPr>
                      <w:rFonts w:hint="eastAsia" w:ascii="Times New Roman" w:hAnsi="Times New Roman" w:cs="Times New Roman"/>
                      <w:color w:val="000000" w:themeColor="text1"/>
                      <w:szCs w:val="21"/>
                      <w:highlight w:val="none"/>
                      <w:lang w:val="en-US" w:eastAsia="zh-CN"/>
                      <w14:textFill>
                        <w14:solidFill>
                          <w14:schemeClr w14:val="tx1"/>
                        </w14:solidFill>
                      </w14:textFill>
                    </w:rPr>
                    <w:t>生产线</w:t>
                  </w:r>
                </w:p>
              </w:tc>
              <w:tc>
                <w:tcPr>
                  <w:tcW w:w="1155"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围环评[2020]5号</w:t>
                  </w:r>
                </w:p>
              </w:tc>
              <w:tc>
                <w:tcPr>
                  <w:tcW w:w="580"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2020</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10</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14</w:t>
                  </w:r>
                </w:p>
              </w:tc>
              <w:tc>
                <w:tcPr>
                  <w:tcW w:w="466"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498"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421"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635" w:type="pct"/>
                  <w:tcBorders>
                    <w:top w:val="single" w:color="000000" w:sz="4" w:space="0"/>
                    <w:left w:val="single" w:color="000000" w:sz="4" w:space="0"/>
                    <w:bottom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建成</w:t>
                  </w:r>
                </w:p>
              </w:tc>
            </w:tr>
            <w:tr>
              <w:tblPrEx>
                <w:tblBorders>
                  <w:top w:val="single" w:color="000000" w:sz="8" w:space="0"/>
                  <w:left w:val="single" w:color="000000" w:sz="8" w:space="0"/>
                  <w:bottom w:val="single" w:color="000000" w:sz="8"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4"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2</w:t>
                  </w:r>
                </w:p>
              </w:tc>
              <w:tc>
                <w:tcPr>
                  <w:tcW w:w="524"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承德森禧木业有限公司45MW热能中心脱硝项目</w:t>
                  </w:r>
                </w:p>
              </w:tc>
              <w:tc>
                <w:tcPr>
                  <w:tcW w:w="583"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建设脱硝设备1套</w:t>
                  </w:r>
                </w:p>
              </w:tc>
              <w:tc>
                <w:tcPr>
                  <w:tcW w:w="1155"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案号：202313082800000157</w:t>
                  </w:r>
                </w:p>
              </w:tc>
              <w:tc>
                <w:tcPr>
                  <w:tcW w:w="580"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202</w:t>
                  </w:r>
                  <w:r>
                    <w:rPr>
                      <w:rFonts w:hint="eastAsia" w:ascii="Times New Roman" w:hAnsi="Times New Roman" w:cs="Times New Roman"/>
                      <w:color w:val="000000" w:themeColor="text1"/>
                      <w:szCs w:val="21"/>
                      <w:highlight w:val="none"/>
                      <w:lang w:val="en-US" w:eastAsia="zh-CN"/>
                      <w14:textFill>
                        <w14:solidFill>
                          <w14:schemeClr w14:val="tx1"/>
                        </w14:solidFill>
                      </w14:textFill>
                    </w:rPr>
                    <w:t>3</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7</w:t>
                  </w:r>
                  <w:r>
                    <w:rPr>
                      <w:rFonts w:ascii="Times New Roman" w:hAnsi="Times New Roman" w:cs="Times New Roman"/>
                      <w:color w:val="000000" w:themeColor="text1"/>
                      <w:szCs w:val="21"/>
                      <w:highlight w:val="none"/>
                      <w14:textFill>
                        <w14:solidFill>
                          <w14:schemeClr w14:val="tx1"/>
                        </w14:solidFill>
                      </w14:textFill>
                    </w:rPr>
                    <w:t>.1</w:t>
                  </w:r>
                  <w:r>
                    <w:rPr>
                      <w:rFonts w:hint="eastAsia" w:ascii="Times New Roman" w:hAnsi="Times New Roman" w:cs="Times New Roman"/>
                      <w:color w:val="000000" w:themeColor="text1"/>
                      <w:szCs w:val="21"/>
                      <w:highlight w:val="none"/>
                      <w:lang w:val="en-US" w:eastAsia="zh-CN"/>
                      <w14:textFill>
                        <w14:solidFill>
                          <w14:schemeClr w14:val="tx1"/>
                        </w14:solidFill>
                      </w14:textFill>
                    </w:rPr>
                    <w:t>7</w:t>
                  </w:r>
                  <w:r>
                    <w:rPr>
                      <w:rFonts w:ascii="Times New Roman" w:hAnsi="Times New Roman" w:cs="Times New Roman"/>
                      <w:color w:val="000000" w:themeColor="text1"/>
                      <w:szCs w:val="21"/>
                      <w:highlight w:val="none"/>
                      <w14:textFill>
                        <w14:solidFill>
                          <w14:schemeClr w14:val="tx1"/>
                        </w14:solidFill>
                      </w14:textFill>
                    </w:rPr>
                    <w:t>填报环境影响登记表</w:t>
                  </w:r>
                </w:p>
              </w:tc>
              <w:tc>
                <w:tcPr>
                  <w:tcW w:w="466"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498"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421" w:type="pct"/>
                  <w:tcBorders>
                    <w:top w:val="single" w:color="000000" w:sz="4" w:space="0"/>
                    <w:left w:val="single" w:color="000000" w:sz="4" w:space="0"/>
                    <w:bottom w:val="single" w:color="000000" w:sz="4" w:space="0"/>
                    <w:right w:val="single" w:color="000000" w:sz="4" w:space="0"/>
                  </w:tcBorders>
                  <w:vAlign w:val="center"/>
                </w:tcPr>
                <w:p>
                  <w:pPr>
                    <w:pStyle w:val="65"/>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635" w:type="pct"/>
                  <w:tcBorders>
                    <w:top w:val="single" w:color="000000" w:sz="4" w:space="0"/>
                    <w:left w:val="single" w:color="000000" w:sz="4" w:space="0"/>
                    <w:bottom w:val="single" w:color="000000" w:sz="4" w:space="0"/>
                  </w:tcBorders>
                  <w:vAlign w:val="center"/>
                </w:tcPr>
                <w:p>
                  <w:pPr>
                    <w:pStyle w:val="65"/>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建成</w:t>
                  </w:r>
                </w:p>
              </w:tc>
            </w:tr>
          </w:tbl>
          <w:p>
            <w:pPr>
              <w:tabs>
                <w:tab w:val="left" w:pos="2500"/>
              </w:tabs>
              <w:adjustRightInd w:val="0"/>
              <w:snapToGrid w:val="0"/>
              <w:spacing w:before="156" w:beforeLines="50" w:line="360" w:lineRule="auto"/>
              <w:ind w:firstLine="480" w:firstLineChars="200"/>
              <w:rPr>
                <w:color w:val="000000" w:themeColor="text1"/>
                <w:highlight w:val="none"/>
                <w14:textFill>
                  <w14:solidFill>
                    <w14:schemeClr w14:val="tx1"/>
                  </w14:solidFill>
                </w14:textFill>
              </w:rPr>
            </w:pPr>
            <w:bookmarkStart w:id="14" w:name="_Hlk142487044"/>
            <w:r>
              <w:rPr>
                <w:rFonts w:hint="eastAsia" w:ascii="Times New Roman" w:hAnsi="Times New Roman"/>
                <w:color w:val="000000" w:themeColor="text1"/>
                <w:sz w:val="24"/>
                <w:highlight w:val="none"/>
                <w14:textFill>
                  <w14:solidFill>
                    <w14:schemeClr w14:val="tx1"/>
                  </w14:solidFill>
                </w14:textFill>
              </w:rPr>
              <w:t>承德森禧木业有限公司</w:t>
            </w:r>
            <w:bookmarkEnd w:id="14"/>
            <w:r>
              <w:rPr>
                <w:rFonts w:hint="eastAsia" w:ascii="Times New Roman" w:hAnsi="Times New Roman"/>
                <w:color w:val="000000" w:themeColor="text1"/>
                <w:sz w:val="24"/>
                <w:highlight w:val="none"/>
                <w14:textFill>
                  <w14:solidFill>
                    <w14:schemeClr w14:val="tx1"/>
                  </w14:solidFill>
                </w14:textFill>
              </w:rPr>
              <w:t>已于2022年3月15日取得承德市行政审批局颁发的排污许可证，证书编号：91130828MA0EC4H55Q001V，有效期：自2022年03月15日至2027年03月14日止。</w:t>
            </w:r>
          </w:p>
          <w:p>
            <w:pPr>
              <w:tabs>
                <w:tab w:val="left" w:pos="2500"/>
              </w:tabs>
              <w:adjustRightInd w:val="0"/>
              <w:snapToGrid w:val="0"/>
              <w:spacing w:line="360" w:lineRule="auto"/>
              <w:ind w:firstLine="482"/>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2、</w:t>
            </w:r>
            <w:r>
              <w:rPr>
                <w:rFonts w:hint="eastAsia" w:ascii="Times New Roman" w:hAnsi="Times New Roman" w:cs="Times New Roman"/>
                <w:b/>
                <w:bCs/>
                <w:color w:val="000000" w:themeColor="text1"/>
                <w:sz w:val="24"/>
                <w:highlight w:val="none"/>
                <w14:textFill>
                  <w14:solidFill>
                    <w14:schemeClr w14:val="tx1"/>
                  </w14:solidFill>
                </w14:textFill>
              </w:rPr>
              <w:t>刨花板</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工艺流程</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承德森禧木业有限公司现有刨花板生产线1条及配套脲醛树脂生产线1条，</w:t>
            </w:r>
            <w:r>
              <w:rPr>
                <w:rFonts w:hint="eastAsia" w:ascii="Times New Roman" w:hAnsi="Times New Roman" w:cs="Times New Roman"/>
                <w:color w:val="000000" w:themeColor="text1"/>
                <w:sz w:val="24"/>
                <w:highlight w:val="none"/>
                <w:lang w:val="en-US" w:eastAsia="zh-CN"/>
                <w14:textFill>
                  <w14:solidFill>
                    <w14:schemeClr w14:val="tx1"/>
                  </w14:solidFill>
                </w14:textFill>
              </w:rPr>
              <w:t>与本项目有关的现有工程主要为刨花板生产线，</w:t>
            </w:r>
            <w:r>
              <w:rPr>
                <w:rFonts w:hint="eastAsia" w:ascii="Times New Roman" w:hAnsi="Times New Roman" w:cs="Times New Roman"/>
                <w:color w:val="000000" w:themeColor="text1"/>
                <w:sz w:val="24"/>
                <w:highlight w:val="none"/>
                <w14:textFill>
                  <w14:solidFill>
                    <w14:schemeClr w14:val="tx1"/>
                  </w14:solidFill>
                </w14:textFill>
              </w:rPr>
              <w:t>刨花板生产线主要生产工艺流程描述如下：</w:t>
            </w:r>
          </w:p>
          <w:p>
            <w:pPr>
              <w:tabs>
                <w:tab w:val="left" w:pos="2500"/>
              </w:tabs>
              <w:adjustRightInd w:val="0"/>
              <w:snapToGrid w:val="0"/>
              <w:spacing w:line="360" w:lineRule="auto"/>
              <w:ind w:firstLine="482"/>
              <w:rPr>
                <w:rFonts w:hint="eastAsia"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刨花板生产线</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bookmarkStart w:id="15" w:name="_Hlk141946046"/>
            <w:r>
              <w:rPr>
                <w:rFonts w:hint="eastAsia" w:ascii="Times New Roman" w:hAnsi="Times New Roman" w:cs="Times New Roman"/>
                <w:color w:val="000000" w:themeColor="text1"/>
                <w:sz w:val="24"/>
                <w:highlight w:val="none"/>
                <w14:textFill>
                  <w14:solidFill>
                    <w14:schemeClr w14:val="tx1"/>
                  </w14:solidFill>
                </w14:textFill>
              </w:rPr>
              <w:t>刨花板生产线</w:t>
            </w:r>
            <w:bookmarkEnd w:id="15"/>
            <w:r>
              <w:rPr>
                <w:rFonts w:hint="eastAsia" w:ascii="Times New Roman" w:hAnsi="Times New Roman" w:cs="Times New Roman"/>
                <w:color w:val="000000" w:themeColor="text1"/>
                <w:sz w:val="24"/>
                <w:highlight w:val="none"/>
                <w14:textFill>
                  <w14:solidFill>
                    <w14:schemeClr w14:val="tx1"/>
                  </w14:solidFill>
                </w14:textFill>
              </w:rPr>
              <w:t>加工工艺流程简述：</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超强刨花板生产工艺为原料贮存与管理、削片工段、刨花生产工段、干燥与分选工段、施胶工段、铺装与热压工段、自动化中间储存、毛板处理工段及砂光裁板工段。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（1）原料贮存与管理</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本项目拟使用的木质原料主要有枝桠材、加工剩余物、锯末等，树种主要是杨木、松木、硬杂木。外购原料运到原料堆场，根据树种不同分类进入原料棚堆存、计量，锯末由专用车辆运到锯屑棚进行贮存、计量。</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（2）削片工段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小径木、枝丫材等木材原料进入上料运输机，通过金属探测器剔除带金属的木材，并将木材去皮。不带金属、去皮后的木材经削片机削成木片，送至木片仓堆存。</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（3）刨花生产工段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木片经刮板运输机送到木片筛选机筛选，小规格木片和常规木片分别进入专用木片仓贮存。小规格木片采用高速环式刨片机加工成合格刨花、常规木片采用普通环式刨片机加工成合格刨花后进入湿刨花仓储存。外购锯屑经筛选机筛选出合格刨花，并经由刮板运输机运送至湿刨花仓储存。</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（4）干燥与分选工段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湿刨花经刮板运输机送入单通道滚筒式刨花干燥机，经热烟气干燥并进行含水率测定。干刨花运至干刨花仓贮存，然后采用三层筛网筛分，其中细刨花经气流分选机分选后送入表层干刨花仓贮存；大刨花进入气流分选机分选，合格刨花送入芯层干刨花仓贮存，过大刨花进入筛环式打磨机打磨后再次进入筛选机筛分。</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刨花筛选机筛分工段产生固废为锯屑，经收集后送至热能中心作为燃料</w:t>
            </w:r>
            <w:r>
              <w:rPr>
                <w:rFonts w:hint="eastAsia" w:ascii="Times New Roman" w:hAnsi="Times New Roman" w:cs="Times New Roman"/>
                <w:color w:val="000000" w:themeColor="text1"/>
                <w:sz w:val="24"/>
                <w:highlight w:val="none"/>
                <w:lang w:val="en-US" w:eastAsia="zh-CN"/>
                <w14:textFill>
                  <w14:solidFill>
                    <w14:schemeClr w14:val="tx1"/>
                  </w14:solidFill>
                </w14:textFill>
              </w:rPr>
              <w:t>备用</w:t>
            </w:r>
            <w:r>
              <w:rPr>
                <w:rFonts w:hint="eastAsia" w:ascii="Times New Roman" w:hAnsi="Times New Roman" w:cs="Times New Roman"/>
                <w:color w:val="000000" w:themeColor="text1"/>
                <w:sz w:val="24"/>
                <w:highlight w:val="none"/>
                <w14:textFill>
                  <w14:solidFill>
                    <w14:schemeClr w14:val="tx1"/>
                  </w14:solidFill>
                </w14:textFill>
              </w:rPr>
              <w:t>。</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（5）施胶工段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表层干刨花经计量后进入表层刨花拌胶机、表层胶液及其它添加剂分别计量后注入表层刨花拌胶机。在拌胶机中通过相互摩擦施胶形成表层施胶刨花。</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芯层刨花计量后进入芯层刨花拌胶机，加入添加剂的胶液经高压泵、喷嘴雾化后喷到刨花帘上拌胶，并通过摩擦达到均匀分布的程度，施胶后的芯层刨花进入芯层刨花铺装机。</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（6）铺装与热压工段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表、芯层施胶刨花分别计量后，经铺装机在板坯运输机上铺装连续板坯带，板坯带在板坯运输机上经预热、称重、金属探测、含水率检测以及预压后，合格的板坯进入连续热压机进行热压，不合格的板坯排入废板坯回收仓，然后由刮板运输机送入湿刨花仓回用。</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（7）毛板处理工段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热压后的毛板带经鼓泡检测、厚度检测、重量检测、裁边、截断后进入冷却翻板机冷却，再经堆垛后运至中间贮存系统贮存。锯边废料打碎后经气力输送系统送回湿刨花仓重新利用。</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（8）砂光与裁板工段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刨花板经过定厚砂光机和精细砂光机砂光后检验堆垛，根据顾客要求将砂光后的刨花板锯裁成规格成品板。</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（9）自动打包工段</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成品板经过自动打包线包装后送入成品库待售。</w:t>
            </w:r>
          </w:p>
          <w:p>
            <w:pPr>
              <w:tabs>
                <w:tab w:val="left" w:pos="2500"/>
              </w:tabs>
              <w:adjustRightInd w:val="0"/>
              <w:snapToGrid w:val="0"/>
              <w:spacing w:line="360" w:lineRule="auto"/>
              <w:ind w:firstLine="482"/>
              <w:rPr>
                <w:rFonts w:hint="eastAsia"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刨花板生产线生产工艺流程图如下</w:t>
            </w:r>
            <w:r>
              <w:rPr>
                <w:rFonts w:hint="eastAsia"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tabs>
                <w:tab w:val="left" w:pos="2500"/>
              </w:tabs>
              <w:kinsoku/>
              <w:wordWrap/>
              <w:overflowPunct/>
              <w:topLinePunct w:val="0"/>
              <w:autoSpaceDE/>
              <w:autoSpaceDN/>
              <w:bidi w:val="0"/>
              <w:adjustRightInd w:val="0"/>
              <w:snapToGrid w:val="0"/>
              <w:spacing w:line="240" w:lineRule="auto"/>
              <w:ind w:firstLine="0"/>
              <w:textAlignment w:val="auto"/>
              <w:rPr>
                <w:color w:val="000000" w:themeColor="text1"/>
                <w:highlight w:val="none"/>
                <w14:textFill>
                  <w14:solidFill>
                    <w14:schemeClr w14:val="tx1"/>
                  </w14:solidFill>
                </w14:textFill>
              </w:rPr>
            </w:pPr>
          </w:p>
          <w:p>
            <w:pPr>
              <w:keepNext w:val="0"/>
              <w:keepLines w:val="0"/>
              <w:pageBreakBefore w:val="0"/>
              <w:widowControl w:val="0"/>
              <w:tabs>
                <w:tab w:val="left" w:pos="2500"/>
              </w:tabs>
              <w:kinsoku/>
              <w:wordWrap/>
              <w:overflowPunct/>
              <w:topLinePunct w:val="0"/>
              <w:autoSpaceDE/>
              <w:autoSpaceDN/>
              <w:bidi w:val="0"/>
              <w:adjustRightInd w:val="0"/>
              <w:snapToGrid w:val="0"/>
              <w:spacing w:line="240" w:lineRule="auto"/>
              <w:ind w:firstLine="0"/>
              <w:textAlignment w:val="auto"/>
              <w:rPr>
                <w:rFonts w:hint="eastAsia"/>
                <w:color w:val="000000" w:themeColor="text1"/>
                <w:highlight w:val="none"/>
                <w:lang w:eastAsia="zh-CN"/>
                <w14:textFill>
                  <w14:solidFill>
                    <w14:schemeClr w14:val="tx1"/>
                  </w14:solidFill>
                </w14:textFill>
              </w:rPr>
            </w:pPr>
          </w:p>
          <w:p>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48275" cy="7992110"/>
                  <wp:effectExtent l="0" t="0" r="9525" b="889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a:stretch>
                            <a:fillRect/>
                          </a:stretch>
                        </pic:blipFill>
                        <pic:spPr>
                          <a:xfrm>
                            <a:off x="0" y="0"/>
                            <a:ext cx="5248275" cy="7992110"/>
                          </a:xfrm>
                          <a:prstGeom prst="rect">
                            <a:avLst/>
                          </a:prstGeom>
                          <a:noFill/>
                          <a:ln>
                            <a:noFill/>
                          </a:ln>
                        </pic:spPr>
                      </pic:pic>
                    </a:graphicData>
                  </a:graphic>
                </wp:inline>
              </w:drawing>
            </w:r>
          </w:p>
          <w:p>
            <w:pPr>
              <w:numPr>
                <w:ilvl w:val="0"/>
                <w:numId w:val="7"/>
              </w:numPr>
              <w:spacing w:line="360" w:lineRule="auto"/>
              <w:ind w:left="0" w:firstLine="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技改后</w:t>
            </w:r>
            <w:r>
              <w:rPr>
                <w:rFonts w:hint="eastAsia"/>
                <w:b/>
                <w:bCs/>
                <w:color w:val="000000" w:themeColor="text1"/>
                <w:highlight w:val="none"/>
                <w:lang w:val="en-US" w:eastAsia="zh-CN"/>
                <w14:textFill>
                  <w14:solidFill>
                    <w14:schemeClr w14:val="tx1"/>
                  </w14:solidFill>
                </w14:textFill>
              </w:rPr>
              <w:t>刨花板</w:t>
            </w:r>
            <w:r>
              <w:rPr>
                <w:rFonts w:hint="eastAsia"/>
                <w:b/>
                <w:bCs/>
                <w:color w:val="000000" w:themeColor="text1"/>
                <w:highlight w:val="none"/>
                <w14:textFill>
                  <w14:solidFill>
                    <w14:schemeClr w14:val="tx1"/>
                  </w14:solidFill>
                </w14:textFill>
              </w:rPr>
              <w:t>工艺流程图</w:t>
            </w:r>
          </w:p>
          <w:p>
            <w:pPr>
              <w:tabs>
                <w:tab w:val="left" w:pos="2500"/>
              </w:tabs>
              <w:adjustRightInd w:val="0"/>
              <w:snapToGrid w:val="0"/>
              <w:spacing w:line="360" w:lineRule="auto"/>
              <w:ind w:firstLine="482"/>
              <w:rPr>
                <w:rFonts w:hint="eastAsia" w:ascii="Times New Roman" w:hAnsi="Times New Roman" w:cs="Times New Roman"/>
                <w:b/>
                <w:bCs/>
                <w:color w:val="000000" w:themeColor="text1"/>
                <w:sz w:val="24"/>
                <w:highlight w:val="none"/>
                <w14:textFill>
                  <w14:solidFill>
                    <w14:schemeClr w14:val="tx1"/>
                  </w14:solidFill>
                </w14:textFill>
              </w:rPr>
            </w:pPr>
          </w:p>
          <w:p>
            <w:pPr>
              <w:tabs>
                <w:tab w:val="left" w:pos="2500"/>
              </w:tabs>
              <w:adjustRightInd w:val="0"/>
              <w:snapToGrid w:val="0"/>
              <w:spacing w:line="360" w:lineRule="auto"/>
              <w:ind w:firstLine="482"/>
              <w:rPr>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3</w:t>
            </w:r>
            <w:r>
              <w:rPr>
                <w:rFonts w:ascii="Times New Roman" w:hAnsi="Times New Roman" w:cs="Times New Roman"/>
                <w:b/>
                <w:bCs/>
                <w:color w:val="000000" w:themeColor="text1"/>
                <w:sz w:val="24"/>
                <w:highlight w:val="none"/>
                <w14:textFill>
                  <w14:solidFill>
                    <w14:schemeClr w14:val="tx1"/>
                  </w14:solidFill>
                </w14:textFill>
              </w:rPr>
              <w:t>、</w:t>
            </w:r>
            <w:r>
              <w:rPr>
                <w:rFonts w:hint="eastAsia" w:ascii="Times New Roman" w:hAnsi="Times New Roman" w:cs="Times New Roman"/>
                <w:b/>
                <w:bCs/>
                <w:color w:val="000000" w:themeColor="text1"/>
                <w:sz w:val="24"/>
                <w:highlight w:val="none"/>
                <w14:textFill>
                  <w14:solidFill>
                    <w14:schemeClr w14:val="tx1"/>
                  </w14:solidFill>
                </w14:textFill>
              </w:rPr>
              <w:t>与本项目有关的现有工程内容</w:t>
            </w:r>
          </w:p>
          <w:p>
            <w:pPr>
              <w:spacing w:line="360" w:lineRule="auto"/>
              <w:ind w:firstLine="480" w:firstLineChars="200"/>
              <w:rPr>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t>工程内容</w:t>
            </w:r>
          </w:p>
          <w:p>
            <w:pPr>
              <w:spacing w:line="360" w:lineRule="auto"/>
              <w:ind w:firstLine="480" w:firstLineChars="200"/>
              <w:rPr>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原项目热能中心现有45MW生物质锅炉1台，配套</w:t>
            </w:r>
            <w:r>
              <w:rPr>
                <w:rFonts w:hint="eastAsia" w:ascii="Times New Roman" w:hAnsi="Times New Roman"/>
                <w:color w:val="000000" w:themeColor="text1"/>
                <w:sz w:val="24"/>
                <w:highlight w:val="none"/>
                <w:lang w:val="en-US" w:eastAsia="zh-CN"/>
                <w14:textFill>
                  <w14:solidFill>
                    <w14:schemeClr w14:val="tx1"/>
                  </w14:solidFill>
                </w14:textFill>
              </w:rPr>
              <w:t>设置鼓风机2台，分为一次鼓风机和二次鼓风机，一次鼓风机鼓风量为5万m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/h，二次鼓风机鼓风量为5.2万m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w:t>
            </w:r>
            <w:r>
              <w:rPr>
                <w:rFonts w:hint="eastAsia" w:ascii="Times New Roman" w:hAnsi="Times New Roman" w:cs="Times New Roman"/>
                <w:color w:val="000000" w:themeColor="text1"/>
                <w:sz w:val="24"/>
                <w:highlight w:val="none"/>
                <w:lang w:val="en-US" w:eastAsia="zh-CN"/>
                <w14:textFill>
                  <w14:solidFill>
                    <w14:schemeClr w14:val="tx1"/>
                  </w14:solidFill>
                </w14:textFill>
              </w:rPr>
              <w:t>，热能中心烟气经烟气净化器处理，净化后的烟气作为洁净烟气用于干燥湿刨花，最终干燥机尾气经旋风除尘器和湿式静电除尘系统处理后通过1根45m高排气筒（3#排气筒）排放</w:t>
            </w:r>
            <w:r>
              <w:rPr>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主要生产设备</w:t>
            </w:r>
          </w:p>
          <w:p>
            <w:pPr>
              <w:numPr>
                <w:ilvl w:val="0"/>
                <w:numId w:val="6"/>
              </w:numPr>
              <w:adjustRightInd w:val="0"/>
              <w:snapToGrid w:val="0"/>
              <w:spacing w:line="360" w:lineRule="auto"/>
              <w:ind w:left="0" w:firstLine="0"/>
              <w:jc w:val="center"/>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14:textFill>
                  <w14:solidFill>
                    <w14:schemeClr w14:val="tx1"/>
                  </w14:solidFill>
                </w14:textFill>
              </w:rPr>
              <w:t>主要生产设施及设施参数一览表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1184"/>
              <w:gridCol w:w="1377"/>
              <w:gridCol w:w="2126"/>
              <w:gridCol w:w="702"/>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6" w:type="pc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主要生产单元</w:t>
                  </w:r>
                </w:p>
              </w:tc>
              <w:tc>
                <w:tcPr>
                  <w:tcW w:w="717"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主要工艺</w:t>
                  </w:r>
                </w:p>
              </w:tc>
              <w:tc>
                <w:tcPr>
                  <w:tcW w:w="834"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生产设施</w:t>
                  </w:r>
                </w:p>
              </w:tc>
              <w:tc>
                <w:tcPr>
                  <w:tcW w:w="1288"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设施参数</w:t>
                  </w:r>
                </w:p>
              </w:tc>
              <w:tc>
                <w:tcPr>
                  <w:tcW w:w="425"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数量</w:t>
                  </w:r>
                </w:p>
              </w:tc>
              <w:tc>
                <w:tcPr>
                  <w:tcW w:w="407" w:type="pct"/>
                  <w:vAlign w:val="center"/>
                </w:tcPr>
                <w:p>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pct"/>
                  <w:vAlign w:val="center"/>
                </w:tcPr>
                <w:p>
                  <w:pPr>
                    <w:adjustRightInd w:val="0"/>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公用工程</w:t>
                  </w:r>
                </w:p>
              </w:tc>
              <w:tc>
                <w:tcPr>
                  <w:tcW w:w="717" w:type="pct"/>
                  <w:vAlign w:val="center"/>
                </w:tcPr>
                <w:p>
                  <w:pPr>
                    <w:adjustRightInd w:val="0"/>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供热系统</w:t>
                  </w:r>
                </w:p>
              </w:tc>
              <w:tc>
                <w:tcPr>
                  <w:tcW w:w="834"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45MW生物质锅炉</w:t>
                  </w:r>
                </w:p>
              </w:tc>
              <w:tc>
                <w:tcPr>
                  <w:tcW w:w="1288"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功率45MW</w:t>
                  </w:r>
                </w:p>
              </w:tc>
              <w:tc>
                <w:tcPr>
                  <w:tcW w:w="425"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407"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pct"/>
                  <w:vAlign w:val="center"/>
                </w:tcPr>
                <w:p>
                  <w:pPr>
                    <w:adjustRightInd w:val="0"/>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刨花干燥与分选工段</w:t>
                  </w:r>
                </w:p>
              </w:tc>
              <w:tc>
                <w:tcPr>
                  <w:tcW w:w="717" w:type="pct"/>
                  <w:vAlign w:val="center"/>
                </w:tcPr>
                <w:p>
                  <w:pPr>
                    <w:adjustRightInd w:val="0"/>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刨花干燥</w:t>
                  </w:r>
                </w:p>
              </w:tc>
              <w:tc>
                <w:tcPr>
                  <w:tcW w:w="834" w:type="pct"/>
                  <w:vAlign w:val="center"/>
                </w:tcPr>
                <w:p>
                  <w:pPr>
                    <w:jc w:val="center"/>
                    <w:rPr>
                      <w:rFonts w:hint="eastAsia"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刨花干燥机</w:t>
                  </w:r>
                </w:p>
              </w:tc>
              <w:tc>
                <w:tcPr>
                  <w:tcW w:w="1288" w:type="pct"/>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color w:val="000000" w:themeColor="text1"/>
                      <w:kern w:val="0"/>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DN</w:t>
                  </w:r>
                  <w:r>
                    <w:rPr>
                      <w:rFonts w:ascii="Times New Roman" w:hAnsi="Times New Roman" w:cs="Times New Roman"/>
                      <w:color w:val="000000" w:themeColor="text1"/>
                      <w:kern w:val="0"/>
                      <w:szCs w:val="21"/>
                      <w:highlight w:val="none"/>
                      <w14:textFill>
                        <w14:solidFill>
                          <w14:schemeClr w14:val="tx1"/>
                        </w14:solidFill>
                      </w14:textFill>
                    </w:rPr>
                    <w:t>4800，</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H</w:t>
                  </w:r>
                  <w:r>
                    <w:rPr>
                      <w:rFonts w:ascii="Times New Roman" w:hAnsi="Times New Roman" w:cs="Times New Roman"/>
                      <w:color w:val="000000" w:themeColor="text1"/>
                      <w:kern w:val="0"/>
                      <w:szCs w:val="21"/>
                      <w:highlight w:val="none"/>
                      <w14:textFill>
                        <w14:solidFill>
                          <w14:schemeClr w14:val="tx1"/>
                        </w14:solidFill>
                      </w14:textFill>
                    </w:rPr>
                    <w:t>30000</w:t>
                  </w:r>
                </w:p>
              </w:tc>
              <w:tc>
                <w:tcPr>
                  <w:tcW w:w="425" w:type="pct"/>
                  <w:vAlign w:val="center"/>
                </w:tcPr>
                <w:p>
                  <w:pPr>
                    <w:jc w:val="center"/>
                    <w:rPr>
                      <w:rFonts w:hint="eastAsia"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1</w:t>
                  </w:r>
                </w:p>
              </w:tc>
              <w:tc>
                <w:tcPr>
                  <w:tcW w:w="407" w:type="pct"/>
                  <w:vAlign w:val="center"/>
                </w:tcPr>
                <w:p>
                  <w:pPr>
                    <w:jc w:val="center"/>
                    <w:rPr>
                      <w:rFonts w:ascii="Times New Roman" w:hAnsi="Times New Roman" w:cs="Times New Roman"/>
                      <w:color w:val="000000" w:themeColor="text1"/>
                      <w:kern w:val="0"/>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台</w:t>
                  </w:r>
                </w:p>
              </w:tc>
            </w:tr>
          </w:tbl>
          <w:p>
            <w:pPr>
              <w:spacing w:line="360" w:lineRule="auto"/>
              <w:ind w:left="420" w:leftChars="200"/>
              <w:rPr>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生产工艺</w:t>
            </w:r>
          </w:p>
          <w:p>
            <w:pPr>
              <w:spacing w:line="336"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原项目热能中心现有45MW生物质锅炉1台，配套设置鼓风设备，热能中心产生的烟气经烟气净化器处理，净化后的烟气作为洁净烟气用于干燥湿刨花，最终干燥机尾气经旋风除尘器和湿式静电除尘系统处理后通过1根45m高排气筒（3#排气筒）排放</w:t>
            </w:r>
            <w:r>
              <w:rPr>
                <w:rFonts w:hint="eastAsia" w:ascii="Times New Roman" w:hAnsi="Times New Roman" w:cs="Times New Roman"/>
                <w:color w:val="000000" w:themeColor="text1"/>
                <w:sz w:val="24"/>
                <w:highlight w:val="none"/>
                <w14:textFill>
                  <w14:solidFill>
                    <w14:schemeClr w14:val="tx1"/>
                  </w14:solidFill>
                </w14:textFill>
              </w:rPr>
              <w:t>。</w:t>
            </w:r>
          </w:p>
          <w:p>
            <w:pPr>
              <w:pStyle w:val="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52975" cy="4105275"/>
                  <wp:effectExtent l="0" t="0" r="9525"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2"/>
                          <a:stretch>
                            <a:fillRect/>
                          </a:stretch>
                        </pic:blipFill>
                        <pic:spPr>
                          <a:xfrm>
                            <a:off x="0" y="0"/>
                            <a:ext cx="4752975" cy="4105275"/>
                          </a:xfrm>
                          <a:prstGeom prst="rect">
                            <a:avLst/>
                          </a:prstGeom>
                          <a:noFill/>
                          <a:ln>
                            <a:noFill/>
                          </a:ln>
                        </pic:spPr>
                      </pic:pic>
                    </a:graphicData>
                  </a:graphic>
                </wp:inline>
              </w:drawing>
            </w:r>
          </w:p>
          <w:p>
            <w:pPr>
              <w:snapToGrid w:val="0"/>
              <w:spacing w:line="36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（排污节点：G废气；W废水；N噪声；S固体废物）</w:t>
            </w:r>
          </w:p>
          <w:p>
            <w:pPr>
              <w:numPr>
                <w:ilvl w:val="0"/>
                <w:numId w:val="7"/>
              </w:numPr>
              <w:spacing w:line="360" w:lineRule="auto"/>
              <w:ind w:left="0" w:firstLine="0"/>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与本项目有关的的现有工程工艺</w:t>
            </w:r>
            <w:r>
              <w:rPr>
                <w:rFonts w:ascii="Times New Roman" w:hAnsi="Times New Roman" w:cs="Times New Roman"/>
                <w:b/>
                <w:bCs/>
                <w:color w:val="000000" w:themeColor="text1"/>
                <w:szCs w:val="21"/>
                <w:highlight w:val="none"/>
                <w14:textFill>
                  <w14:solidFill>
                    <w14:schemeClr w14:val="tx1"/>
                  </w14:solidFill>
                </w14:textFill>
              </w:rPr>
              <w:t>流程及产污节点图</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现有工程产排污节点及治理措施见下表。</w:t>
            </w:r>
          </w:p>
          <w:p>
            <w:pPr>
              <w:numPr>
                <w:ilvl w:val="0"/>
                <w:numId w:val="6"/>
              </w:numPr>
              <w:adjustRightInd w:val="0"/>
              <w:snapToGrid w:val="0"/>
              <w:spacing w:line="360" w:lineRule="auto"/>
              <w:ind w:left="0" w:firstLine="0"/>
              <w:jc w:val="center"/>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14:textFill>
                  <w14:solidFill>
                    <w14:schemeClr w14:val="tx1"/>
                  </w14:solidFill>
                </w14:textFill>
              </w:rPr>
              <w:t>现有工程产排污节点及治理措施一览表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5"/>
              <w:gridCol w:w="883"/>
              <w:gridCol w:w="1322"/>
              <w:gridCol w:w="673"/>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58"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类别</w:t>
                  </w:r>
                </w:p>
              </w:tc>
              <w:tc>
                <w:tcPr>
                  <w:tcW w:w="506"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污染源</w:t>
                  </w:r>
                </w:p>
              </w:tc>
              <w:tc>
                <w:tcPr>
                  <w:tcW w:w="535"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污染物名称</w:t>
                  </w:r>
                </w:p>
              </w:tc>
              <w:tc>
                <w:tcPr>
                  <w:tcW w:w="801"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污染因子</w:t>
                  </w:r>
                </w:p>
              </w:tc>
              <w:tc>
                <w:tcPr>
                  <w:tcW w:w="408"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产生特征</w:t>
                  </w:r>
                </w:p>
              </w:tc>
              <w:tc>
                <w:tcPr>
                  <w:tcW w:w="2490"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污染治理措施及去向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废气</w:t>
                  </w:r>
                </w:p>
              </w:tc>
              <w:tc>
                <w:tcPr>
                  <w:tcW w:w="506"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干燥机</w:t>
                  </w:r>
                </w:p>
              </w:tc>
              <w:tc>
                <w:tcPr>
                  <w:tcW w:w="535"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干燥尾气</w:t>
                  </w:r>
                </w:p>
              </w:tc>
              <w:tc>
                <w:tcPr>
                  <w:tcW w:w="801"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颗粒物、SO</w:t>
                  </w:r>
                  <w:r>
                    <w:rPr>
                      <w:rFonts w:ascii="Times New Roman" w:hAnsi="Times New Roman" w:cs="Times New Roman"/>
                      <w:color w:val="000000" w:themeColor="text1"/>
                      <w:szCs w:val="21"/>
                      <w:highlight w:val="none"/>
                      <w:vertAlign w:val="subscript"/>
                      <w14:textFill>
                        <w14:solidFill>
                          <w14:schemeClr w14:val="tx1"/>
                        </w14:solidFill>
                      </w14:textFill>
                    </w:rPr>
                    <w:t>2</w:t>
                  </w:r>
                  <w:r>
                    <w:rPr>
                      <w:rFonts w:ascii="Times New Roman" w:hAnsi="Times New Roman" w:cs="Times New Roman"/>
                      <w:color w:val="000000" w:themeColor="text1"/>
                      <w:szCs w:val="21"/>
                      <w:highlight w:val="none"/>
                      <w14:textFill>
                        <w14:solidFill>
                          <w14:schemeClr w14:val="tx1"/>
                        </w14:solidFill>
                      </w14:textFill>
                    </w:rPr>
                    <w:t>、NO</w:t>
                  </w:r>
                  <w:r>
                    <w:rPr>
                      <w:rFonts w:ascii="Times New Roman" w:hAnsi="Times New Roman" w:cs="Times New Roman"/>
                      <w:color w:val="000000" w:themeColor="text1"/>
                      <w:szCs w:val="21"/>
                      <w:highlight w:val="none"/>
                      <w:vertAlign w:val="subscript"/>
                      <w14:textFill>
                        <w14:solidFill>
                          <w14:schemeClr w14:val="tx1"/>
                        </w14:solidFill>
                      </w14:textFill>
                    </w:rPr>
                    <w:t>X</w:t>
                  </w:r>
                </w:p>
              </w:tc>
              <w:tc>
                <w:tcPr>
                  <w:tcW w:w="408"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连续</w:t>
                  </w:r>
                </w:p>
              </w:tc>
              <w:tc>
                <w:tcPr>
                  <w:tcW w:w="2490" w:type="pct"/>
                  <w:tcBorders>
                    <w:bottom w:val="single" w:color="000000" w:sz="6" w:space="0"/>
                  </w:tcBorders>
                  <w:vAlign w:val="center"/>
                </w:tcPr>
                <w:p>
                  <w:pPr>
                    <w:jc w:val="center"/>
                    <w:rPr>
                      <w:rFonts w:eastAsiaTheme="minorEastAsia"/>
                      <w:bCs/>
                      <w:color w:val="000000" w:themeColor="text1"/>
                      <w:spacing w:val="9"/>
                      <w:szCs w:val="21"/>
                      <w:highlight w:val="none"/>
                      <w14:textFill>
                        <w14:solidFill>
                          <w14:schemeClr w14:val="tx1"/>
                        </w14:solidFill>
                      </w14:textFill>
                    </w:rPr>
                  </w:pPr>
                  <w:r>
                    <w:rPr>
                      <w:rFonts w:hint="eastAsia" w:cs="Times New Roman"/>
                      <w:bCs/>
                      <w:color w:val="000000" w:themeColor="text1"/>
                      <w:spacing w:val="9"/>
                      <w:szCs w:val="21"/>
                      <w:highlight w:val="none"/>
                      <w:lang w:val="en-US" w:eastAsia="zh-CN"/>
                      <w14:textFill>
                        <w14:solidFill>
                          <w14:schemeClr w14:val="tx1"/>
                        </w14:solidFill>
                      </w14:textFill>
                    </w:rPr>
                    <w:t>热能中心</w:t>
                  </w:r>
                  <w:r>
                    <w:rPr>
                      <w:rFonts w:hint="eastAsia" w:cs="Times New Roman"/>
                      <w:bCs/>
                      <w:color w:val="000000" w:themeColor="text1"/>
                      <w:spacing w:val="9"/>
                      <w:szCs w:val="21"/>
                      <w:highlight w:val="none"/>
                      <w14:textFill>
                        <w14:solidFill>
                          <w14:schemeClr w14:val="tx1"/>
                        </w14:solidFill>
                      </w14:textFill>
                    </w:rPr>
                    <w:t>产生的</w:t>
                  </w:r>
                  <w:r>
                    <w:rPr>
                      <w:rFonts w:hint="eastAsia" w:cs="Times New Roman"/>
                      <w:bCs/>
                      <w:color w:val="000000" w:themeColor="text1"/>
                      <w:spacing w:val="9"/>
                      <w:szCs w:val="21"/>
                      <w:highlight w:val="none"/>
                      <w:lang w:val="en-US" w:eastAsia="zh-CN"/>
                      <w14:textFill>
                        <w14:solidFill>
                          <w14:schemeClr w14:val="tx1"/>
                        </w14:solidFill>
                      </w14:textFill>
                    </w:rPr>
                    <w:t>烟</w:t>
                  </w:r>
                  <w:r>
                    <w:rPr>
                      <w:rFonts w:hint="eastAsia" w:cs="Times New Roman"/>
                      <w:bCs/>
                      <w:color w:val="000000" w:themeColor="text1"/>
                      <w:spacing w:val="9"/>
                      <w:szCs w:val="21"/>
                      <w:highlight w:val="none"/>
                      <w14:textFill>
                        <w14:solidFill>
                          <w14:schemeClr w14:val="tx1"/>
                        </w14:solidFill>
                      </w14:textFill>
                    </w:rPr>
                    <w:t>气</w:t>
                  </w:r>
                  <w:r>
                    <w:rPr>
                      <w:rFonts w:hint="eastAsia" w:ascii="Times New Roman" w:hAnsi="Times New Roman" w:cs="Times New Roman"/>
                      <w:bCs/>
                      <w:color w:val="000000" w:themeColor="text1"/>
                      <w:spacing w:val="9"/>
                      <w:szCs w:val="21"/>
                      <w:highlight w:val="none"/>
                      <w14:textFill>
                        <w14:solidFill>
                          <w14:schemeClr w14:val="tx1"/>
                        </w14:solidFill>
                      </w14:textFill>
                    </w:rPr>
                    <w:t>经</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脱硝、除尘后产生的洁净烟气进入干燥机干燥湿刨花.干燥尾气先后经旋风除尘器</w:t>
                  </w:r>
                  <w:r>
                    <w:rPr>
                      <w:rFonts w:hint="eastAsia" w:ascii="Times New Roman" w:hAnsi="Times New Roman" w:cs="Times New Roman"/>
                      <w:bCs/>
                      <w:color w:val="000000" w:themeColor="text1"/>
                      <w:spacing w:val="9"/>
                      <w:szCs w:val="21"/>
                      <w:highlight w:val="none"/>
                      <w14:textFill>
                        <w14:solidFill>
                          <w14:schemeClr w14:val="tx1"/>
                        </w14:solidFill>
                      </w14:textFill>
                    </w:rPr>
                    <w:t>、湿式静电除尘器处理后，由现有</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45</w:t>
                  </w:r>
                  <w:r>
                    <w:rPr>
                      <w:rFonts w:hint="eastAsia" w:ascii="Times New Roman" w:hAnsi="Times New Roman" w:cs="Times New Roman"/>
                      <w:bCs/>
                      <w:color w:val="000000" w:themeColor="text1"/>
                      <w:spacing w:val="9"/>
                      <w:szCs w:val="21"/>
                      <w:highlight w:val="none"/>
                      <w14:textFill>
                        <w14:solidFill>
                          <w14:schemeClr w14:val="tx1"/>
                        </w14:solidFill>
                      </w14:textFill>
                    </w:rPr>
                    <w:t>m高排气筒（</w:t>
                  </w: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3#</w:t>
                  </w:r>
                  <w:r>
                    <w:rPr>
                      <w:rFonts w:hint="eastAsia" w:ascii="Times New Roman" w:hAnsi="Times New Roman" w:cs="Times New Roman"/>
                      <w:bCs/>
                      <w:color w:val="000000" w:themeColor="text1"/>
                      <w:spacing w:val="9"/>
                      <w:szCs w:val="21"/>
                      <w:highlight w:val="none"/>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506" w:type="pct"/>
                  <w:vAlign w:val="center"/>
                </w:tcPr>
                <w:p>
                  <w:pPr>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鼓风设备</w:t>
                  </w:r>
                </w:p>
              </w:tc>
              <w:tc>
                <w:tcPr>
                  <w:tcW w:w="535"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801"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408"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连续</w:t>
                  </w:r>
                </w:p>
              </w:tc>
              <w:tc>
                <w:tcPr>
                  <w:tcW w:w="2490"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选用低噪声设备、减震基础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506" w:type="pct"/>
                  <w:vAlign w:val="center"/>
                </w:tcPr>
                <w:p>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锅炉</w:t>
                  </w:r>
                </w:p>
              </w:tc>
              <w:tc>
                <w:tcPr>
                  <w:tcW w:w="535"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801"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408"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连续</w:t>
                  </w:r>
                </w:p>
              </w:tc>
              <w:tc>
                <w:tcPr>
                  <w:tcW w:w="2490"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506" w:type="pct"/>
                  <w:vAlign w:val="center"/>
                </w:tcPr>
                <w:p>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干燥机</w:t>
                  </w:r>
                </w:p>
              </w:tc>
              <w:tc>
                <w:tcPr>
                  <w:tcW w:w="535"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801"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w:t>
                  </w:r>
                </w:p>
              </w:tc>
              <w:tc>
                <w:tcPr>
                  <w:tcW w:w="408"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连续</w:t>
                  </w:r>
                </w:p>
              </w:tc>
              <w:tc>
                <w:tcPr>
                  <w:tcW w:w="2490"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固废</w:t>
                  </w:r>
                </w:p>
              </w:tc>
              <w:tc>
                <w:tcPr>
                  <w:tcW w:w="506"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设备维修</w:t>
                  </w:r>
                </w:p>
              </w:tc>
              <w:tc>
                <w:tcPr>
                  <w:tcW w:w="535"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废润滑油</w:t>
                  </w:r>
                </w:p>
              </w:tc>
              <w:tc>
                <w:tcPr>
                  <w:tcW w:w="801"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废润滑油</w:t>
                  </w:r>
                </w:p>
              </w:tc>
              <w:tc>
                <w:tcPr>
                  <w:tcW w:w="408"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间断</w:t>
                  </w:r>
                </w:p>
              </w:tc>
              <w:tc>
                <w:tcPr>
                  <w:tcW w:w="2490"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分类收集暂存于现有危险废物贮存间内，定期交由</w:t>
                  </w:r>
                  <w:r>
                    <w:rPr>
                      <w:rFonts w:hint="eastAsia" w:ascii="Times New Roman" w:hAnsi="Times New Roman" w:cs="Times New Roman"/>
                      <w:color w:val="000000" w:themeColor="text1"/>
                      <w:szCs w:val="21"/>
                      <w:highlight w:val="none"/>
                      <w:lang w:eastAsia="zh-CN"/>
                      <w14:textFill>
                        <w14:solidFill>
                          <w14:schemeClr w14:val="tx1"/>
                        </w14:solidFill>
                      </w14:textFill>
                    </w:rPr>
                    <w:t>乐亭县海畅环保科技有限公司</w:t>
                  </w:r>
                  <w:r>
                    <w:rPr>
                      <w:rFonts w:ascii="Times New Roman" w:hAnsi="Times New Roman" w:cs="Times New Roman"/>
                      <w:color w:val="000000" w:themeColor="text1"/>
                      <w:szCs w:val="21"/>
                      <w:highlight w:val="none"/>
                      <w14:textFill>
                        <w14:solidFill>
                          <w14:schemeClr w14:val="tx1"/>
                        </w14:solidFill>
                      </w14:textFill>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vMerge w:val="continue"/>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p>
              </w:tc>
              <w:tc>
                <w:tcPr>
                  <w:tcW w:w="506"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设备维修</w:t>
                  </w:r>
                </w:p>
              </w:tc>
              <w:tc>
                <w:tcPr>
                  <w:tcW w:w="535"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废油桶</w:t>
                  </w:r>
                </w:p>
              </w:tc>
              <w:tc>
                <w:tcPr>
                  <w:tcW w:w="801"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废油桶</w:t>
                  </w:r>
                </w:p>
              </w:tc>
              <w:tc>
                <w:tcPr>
                  <w:tcW w:w="408" w:type="pct"/>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间断</w:t>
                  </w:r>
                </w:p>
              </w:tc>
              <w:tc>
                <w:tcPr>
                  <w:tcW w:w="2490" w:type="pct"/>
                  <w:vMerge w:val="continue"/>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58" w:type="pct"/>
                  <w:vMerge w:val="continue"/>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p>
              </w:tc>
              <w:tc>
                <w:tcPr>
                  <w:tcW w:w="506"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除尘器</w:t>
                  </w:r>
                </w:p>
              </w:tc>
              <w:tc>
                <w:tcPr>
                  <w:tcW w:w="535"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除尘灰</w:t>
                  </w:r>
                </w:p>
              </w:tc>
              <w:tc>
                <w:tcPr>
                  <w:tcW w:w="801" w:type="pct"/>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除尘灰</w:t>
                  </w:r>
                </w:p>
              </w:tc>
              <w:tc>
                <w:tcPr>
                  <w:tcW w:w="408" w:type="pct"/>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间断</w:t>
                  </w:r>
                </w:p>
              </w:tc>
              <w:tc>
                <w:tcPr>
                  <w:tcW w:w="2490" w:type="pct"/>
                  <w:vMerge w:val="restart"/>
                  <w:vAlign w:val="center"/>
                </w:tcPr>
                <w:p>
                  <w:pPr>
                    <w:spacing w:line="320" w:lineRule="exact"/>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除尘灰送往热能中心作燃料，热能中心炉渣运至有机肥厂作为原料使用。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vMerge w:val="continue"/>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p>
              </w:tc>
              <w:tc>
                <w:tcPr>
                  <w:tcW w:w="506" w:type="pct"/>
                  <w:vAlign w:val="center"/>
                </w:tcPr>
                <w:p>
                  <w:pPr>
                    <w:adjustRightInd w:val="0"/>
                    <w:snapToGrid w:val="0"/>
                    <w:jc w:val="center"/>
                    <w:rPr>
                      <w:rFonts w:hint="eastAsia" w:ascii="Times New Roman" w:hAnsi="Times New Roman" w:cs="Times New Roman" w:eastAsiaTheme="minorEastAsia"/>
                      <w:bCs/>
                      <w:color w:val="000000" w:themeColor="text1"/>
                      <w:spacing w:val="9"/>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锅炉</w:t>
                  </w:r>
                </w:p>
              </w:tc>
              <w:tc>
                <w:tcPr>
                  <w:tcW w:w="535" w:type="pct"/>
                  <w:vAlign w:val="center"/>
                </w:tcPr>
                <w:p>
                  <w:pPr>
                    <w:adjustRightInd w:val="0"/>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炉渣</w:t>
                  </w:r>
                </w:p>
              </w:tc>
              <w:tc>
                <w:tcPr>
                  <w:tcW w:w="801" w:type="pct"/>
                  <w:vAlign w:val="center"/>
                </w:tcPr>
                <w:p>
                  <w:pPr>
                    <w:adjustRightInd w:val="0"/>
                    <w:snapToGrid w:val="0"/>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炉渣</w:t>
                  </w:r>
                </w:p>
              </w:tc>
              <w:tc>
                <w:tcPr>
                  <w:tcW w:w="408" w:type="pct"/>
                  <w:vAlign w:val="center"/>
                </w:tcPr>
                <w:p>
                  <w:pPr>
                    <w:spacing w:line="320" w:lineRule="exact"/>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间断</w:t>
                  </w:r>
                </w:p>
              </w:tc>
              <w:tc>
                <w:tcPr>
                  <w:tcW w:w="2490" w:type="pct"/>
                  <w:vMerge w:val="continue"/>
                  <w:vAlign w:val="center"/>
                </w:tcPr>
                <w:p>
                  <w:pPr>
                    <w:spacing w:line="320" w:lineRule="exact"/>
                    <w:jc w:val="center"/>
                    <w:rPr>
                      <w:rFonts w:hint="eastAsia" w:ascii="Times New Roman" w:hAnsi="Times New Roman" w:cs="Times New Roman"/>
                      <w:bCs/>
                      <w:color w:val="000000" w:themeColor="text1"/>
                      <w:spacing w:val="9"/>
                      <w:szCs w:val="21"/>
                      <w:highlight w:val="none"/>
                      <w14:textFill>
                        <w14:solidFill>
                          <w14:schemeClr w14:val="tx1"/>
                        </w14:solidFill>
                      </w14:textFill>
                    </w:rPr>
                  </w:pPr>
                </w:p>
              </w:tc>
            </w:tr>
          </w:tbl>
          <w:p>
            <w:pPr>
              <w:autoSpaceDE w:val="0"/>
              <w:autoSpaceDN w:val="0"/>
              <w:adjustRightInd w:val="0"/>
              <w:snapToGrid w:val="0"/>
              <w:spacing w:line="360" w:lineRule="auto"/>
              <w:ind w:left="420"/>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4、现有工程污染物</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排放情况</w:t>
            </w:r>
          </w:p>
          <w:p>
            <w:pPr>
              <w:widowControl/>
              <w:spacing w:line="500" w:lineRule="exact"/>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承德森禧木业有限公司现有刨花板生产线1条及配套脲醛树脂生产线1条</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年产超强刨花板30万m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根据</w:t>
            </w:r>
            <w:bookmarkStart w:id="16" w:name="_Hlk80175059"/>
            <w:bookmarkStart w:id="17" w:name="_Hlk76569391"/>
            <w:r>
              <w:rPr>
                <w:rFonts w:hint="default" w:ascii="Times New Roman" w:hAnsi="Times New Roman" w:cs="Times New Roman"/>
                <w:color w:val="000000" w:themeColor="text1"/>
                <w:sz w:val="24"/>
                <w:highlight w:val="none"/>
                <w:lang w:eastAsia="zh-CN"/>
                <w14:textFill>
                  <w14:solidFill>
                    <w14:schemeClr w14:val="tx1"/>
                  </w14:solidFill>
                </w14:textFill>
              </w:rPr>
              <w:t>2023年</w:t>
            </w:r>
            <w:bookmarkEnd w:id="16"/>
            <w:r>
              <w:rPr>
                <w:rFonts w:hint="default" w:ascii="Times New Roman" w:hAnsi="Times New Roman" w:cs="Times New Roman"/>
                <w:color w:val="000000" w:themeColor="text1"/>
                <w:sz w:val="24"/>
                <w:highlight w:val="none"/>
                <w:lang w:eastAsia="zh-CN"/>
                <w14:textFill>
                  <w14:solidFill>
                    <w14:schemeClr w14:val="tx1"/>
                  </w14:solidFill>
                </w14:textFill>
              </w:rPr>
              <w:t>8月</w:t>
            </w:r>
            <w:bookmarkStart w:id="18" w:name="_Hlk79591828"/>
            <w:bookmarkStart w:id="19" w:name="_Hlk143506456"/>
            <w:bookmarkStart w:id="20" w:name="_Hlk147820857"/>
            <w:r>
              <w:rPr>
                <w:rFonts w:hint="default" w:ascii="Times New Roman" w:hAnsi="Times New Roman" w:cs="Times New Roman"/>
                <w:color w:val="000000" w:themeColor="text1"/>
                <w:sz w:val="24"/>
                <w:highlight w:val="none"/>
                <w:lang w:eastAsia="zh-CN"/>
                <w14:textFill>
                  <w14:solidFill>
                    <w14:schemeClr w14:val="tx1"/>
                  </w14:solidFill>
                </w14:textFill>
              </w:rPr>
              <w:t>辽宁鹏宇环境监测有限公司</w:t>
            </w:r>
            <w:bookmarkStart w:id="21" w:name="_Hlk126158003"/>
            <w:r>
              <w:rPr>
                <w:rFonts w:hint="eastAsia" w:ascii="Times New Roman" w:hAnsi="Times New Roman" w:cs="Times New Roman"/>
                <w:color w:val="000000" w:themeColor="text1"/>
                <w:sz w:val="24"/>
                <w:highlight w:val="none"/>
                <w:lang w:val="en-US" w:eastAsia="zh-CN"/>
                <w14:textFill>
                  <w14:solidFill>
                    <w14:schemeClr w14:val="tx1"/>
                  </w14:solidFill>
                </w14:textFill>
              </w:rPr>
              <w:t>出具的《</w:t>
            </w:r>
            <w:r>
              <w:rPr>
                <w:rFonts w:hint="default" w:ascii="Times New Roman" w:hAnsi="Times New Roman" w:cs="Times New Roman"/>
                <w:color w:val="000000" w:themeColor="text1"/>
                <w:sz w:val="24"/>
                <w:highlight w:val="none"/>
                <w:lang w:eastAsia="zh-CN"/>
                <w14:textFill>
                  <w14:solidFill>
                    <w14:schemeClr w14:val="tx1"/>
                  </w14:solidFill>
                </w14:textFill>
              </w:rPr>
              <w:t>承德森禧木业有限公司京津冀生态板材产业园项目</w:t>
            </w:r>
            <w:bookmarkEnd w:id="18"/>
            <w:bookmarkEnd w:id="21"/>
            <w:r>
              <w:rPr>
                <w:rFonts w:hint="default" w:ascii="Times New Roman" w:hAnsi="Times New Roman" w:cs="Times New Roman"/>
                <w:color w:val="000000" w:themeColor="text1"/>
                <w:sz w:val="24"/>
                <w:highlight w:val="none"/>
                <w:lang w:eastAsia="zh-CN"/>
                <w14:textFill>
                  <w14:solidFill>
                    <w14:schemeClr w14:val="tx1"/>
                  </w14:solidFill>
                </w14:textFill>
              </w:rPr>
              <w:t>检测报告</w:t>
            </w:r>
            <w:bookmarkEnd w:id="19"/>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（（辽鹏环测）字PY2308225-001号）</w:t>
            </w:r>
            <w:bookmarkEnd w:id="17"/>
            <w:bookmarkEnd w:id="20"/>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①废气：</w:t>
            </w:r>
            <w:r>
              <w:rPr>
                <w:rFonts w:hint="eastAsia" w:ascii="Times New Roman" w:hAnsi="Times New Roman" w:cs="Times New Roman"/>
                <w:color w:val="000000" w:themeColor="text1"/>
                <w:sz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highlight w:val="none"/>
                <w:lang w:eastAsia="zh-CN"/>
                <w14:textFill>
                  <w14:solidFill>
                    <w14:schemeClr w14:val="tx1"/>
                  </w14:solidFill>
                </w14:textFill>
              </w:rPr>
              <w:t>项目运营期废气主要为削片粉尘、刨片粉尘、热能中心锅炉烟气、干燥废气、打磨废气、分选废气、铺装废气、热压废气、裁边截板工序产生的粉尘、粉料输送系统粉尘、砂光工序粉尘及制胶工段废气不凝废气。</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highlight w:val="none"/>
                <w:lang w:eastAsia="zh-CN"/>
                <w14:textFill>
                  <w14:solidFill>
                    <w14:schemeClr w14:val="tx1"/>
                  </w14:solidFill>
                </w14:textFill>
              </w:rPr>
              <w:t>项目采取的废气有组织排放主要治理措施包括：</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2台削片车间削片机设废气收集设施，收集的废气经旋风布袋除尘器处理后通过车间外1根15m高排气筒排放；刨花车间5台刨花机入料口封闭，刨花机下料口设废气收集设施，收集的废气经2套布袋除尘器处理后通过车间外2根15m高排气筒排放（其中4台刨花机共用1套除尘系统，1台刨花机独立使用另一套除尘系统）；</w:t>
            </w:r>
            <w:r>
              <w:rPr>
                <w:rFonts w:hint="default" w:ascii="Times New Roman" w:hAnsi="Times New Roman" w:cs="Times New Roman"/>
                <w:b/>
                <w:bCs/>
                <w:color w:val="000000" w:themeColor="text1"/>
                <w:sz w:val="24"/>
                <w:highlight w:val="none"/>
                <w:lang w:eastAsia="zh-CN"/>
                <w14:textFill>
                  <w14:solidFill>
                    <w14:schemeClr w14:val="tx1"/>
                  </w14:solidFill>
                </w14:textFill>
              </w:rPr>
              <w:t>热能中心生物质锅炉增设S</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NC</w:t>
            </w:r>
            <w:r>
              <w:rPr>
                <w:rFonts w:hint="default" w:ascii="Times New Roman" w:hAnsi="Times New Roman" w:cs="Times New Roman"/>
                <w:b/>
                <w:bCs/>
                <w:color w:val="000000" w:themeColor="text1"/>
                <w:sz w:val="24"/>
                <w:highlight w:val="none"/>
                <w:lang w:eastAsia="zh-CN"/>
                <w14:textFill>
                  <w14:solidFill>
                    <w14:schemeClr w14:val="tx1"/>
                  </w14:solidFill>
                </w14:textFill>
              </w:rPr>
              <w:t>R脱硝系统，锅炉烟气作为干燥工序热源，与干燥废气一起经旋风除尘器+湿式静电除尘系统除尘后通过45m高排气筒排放；</w:t>
            </w:r>
            <w:r>
              <w:rPr>
                <w:rFonts w:hint="default" w:ascii="Times New Roman" w:hAnsi="Times New Roman" w:cs="Times New Roman"/>
                <w:color w:val="000000" w:themeColor="text1"/>
                <w:sz w:val="24"/>
                <w:highlight w:val="none"/>
                <w:lang w:eastAsia="zh-CN"/>
                <w14:textFill>
                  <w14:solidFill>
                    <w14:schemeClr w14:val="tx1"/>
                  </w14:solidFill>
                </w14:textFill>
              </w:rPr>
              <w:t>打磨设备设废气收集设施，收集的废气经2套布袋除尘器处理后通过车间外2根15m高排气筒排放；气流分选机设废气收集设施，收集的废气经布袋除尘器处理后通过车间外1根15m高排气筒排放；铺装、预热工段产生的铺装粉尘收集经布袋除尘器除尘后通过2根15m高排气筒排放，铺装过程中产生少量甲醛和VOCs，产生浓度很低（已属于各类处理工艺的处理排放浓度），不经过处理即可达标排放；压机头部设废气收集设施，收集的废气经布袋除尘器处理后通过车间外1根15m高排气筒排放；热压工序产生的有机废气主要为甲醛、VOCs，采用吸尘罩+压机除尘排气系统收集除尘后统一送至热能中心作为燃料燃烧；裁边截板工序产生的含尘废气收集后经布袋除尘器处理后通过1根15m高排气筒排放；砂光工序产生的含尘废气收集后经布袋除尘器处理后通过1根15m高排气筒排放；毛坯处理工段收集的粉料及砂光工序布袋除尘器除尘灰通过气动输送系统输送至热能中心作为燃料</w:t>
            </w:r>
            <w:r>
              <w:rPr>
                <w:rFonts w:hint="eastAsia" w:ascii="Times New Roman" w:hAnsi="Times New Roman" w:cs="Times New Roman"/>
                <w:color w:val="000000" w:themeColor="text1"/>
                <w:sz w:val="24"/>
                <w:highlight w:val="none"/>
                <w:lang w:val="en-US" w:eastAsia="zh-CN"/>
                <w14:textFill>
                  <w14:solidFill>
                    <w14:schemeClr w14:val="tx1"/>
                  </w14:solidFill>
                </w14:textFill>
              </w:rPr>
              <w:t>燃烧</w:t>
            </w:r>
            <w:r>
              <w:rPr>
                <w:rFonts w:hint="default" w:ascii="Times New Roman" w:hAnsi="Times New Roman" w:cs="Times New Roman"/>
                <w:color w:val="000000" w:themeColor="text1"/>
                <w:sz w:val="24"/>
                <w:highlight w:val="none"/>
                <w:lang w:eastAsia="zh-CN"/>
                <w14:textFill>
                  <w14:solidFill>
                    <w14:schemeClr w14:val="tx1"/>
                  </w14:solidFill>
                </w14:textFill>
              </w:rPr>
              <w:t>，输送系统含尘废气经布袋除尘器处理后通过1根15m高排气筒排放；制胶工段废气不凝废气通过管道输送至热能中心燃烧处理。</w:t>
            </w:r>
          </w:p>
          <w:p>
            <w:pPr>
              <w:spacing w:line="500" w:lineRule="exact"/>
              <w:ind w:firstLine="480" w:firstLineChars="200"/>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经监测，削片车间布袋除尘器排气筒颗粒物最大排放浓度为39.7mg/m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、排放速率为0.1 kg/h；刨片车间布袋除尘器（1#）排气筒颗粒物最大排放浓度为29.8mg/m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、排放速率为0.6kg/h；刨片车间布袋除尘器（2#）排气筒颗粒物最大排放浓度为27.5mg/m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、排放速率为0.46kg/h；筛选打磨车间筛选打磨1#布袋除尘器排气筒颗粒物最大排放浓度为29.0mg/m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、排放速率为1.02 kg/h；筛选打磨车间筛选打磨2#布袋除尘器排气筒颗粒物最大排放浓度为29.6mg/m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、排放速率为0.91kg/h；筛选打磨车间风选3#布袋除尘器排气筒颗粒物最大排放浓度为28.2mg/m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、排放速率为1.14kg/h；筛选打磨车间粉尘输送系统布袋除尘器排气筒颗粒物最大排放浓度为28.7mg/m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、排放速率为0.28kg/h；压机头布袋除尘器排气筒颗粒物最大排放浓度为29.5mg/m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、排放速率为0.89kg/h；砂光纵锯裁板布袋除尘器排气筒颗粒物最大排放浓度为29.0mg/m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、排放速率为0.93kg/h；后处理布袋除尘器排气筒颗粒物最大排放浓度为28.0mg/m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、排放速率为0.88kg/h；砂光粉收集布袋除尘器排气筒颗粒物最大排放浓度为29.5mg/m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、排放速率为3.43kg/h；罗茨风机粉料输送系统布袋除尘器排气筒颗粒物最大排放浓度为28.1mg/m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、排放速率为0.06 kg/h；铺装工序1#布袋除尘器排气筒颗粒物最大排放浓度为29.7mg/m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、排放速率为3.14kg/h；铺装工序2#布袋除尘器排气筒颗粒物最大排放浓度为28.7mg/m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、排放速率为0.99kg/h；满足《大气污染物综合排放标准》（GB16297-1996）表2二级标准。铺装工序1#布袋除尘器排气筒甲醛最大排放浓度为0.73mg/m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、非甲烷总烃最大排放浓度为5.62mg/m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，铺装工序2#布袋除尘器排气筒甲醛最大排放浓度为0.70mg/m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、非甲烷总烃最大排放浓度为5.51mg/m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，满足《工业企业挥发性有机物排放控制标准》（DB13/2322-2016）表2中其他企业浓度限值要求。铺装工序有机废气排放浓度远远小于相应排放标准要求，符合环评报告书中“直接排放”要求</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。热能中心湿电除尘器排气筒颗粒物最大排放浓度为29.0mg/m</w:t>
            </w:r>
            <w:r>
              <w:rPr>
                <w:rFonts w:hint="default" w:ascii="Times New Roman" w:hAnsi="Times New Roman" w:cs="Times New Roman"/>
                <w:b w:val="0"/>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、排放速率为3.06kg/h，二氧化硫最大排放浓度为17mg/m</w:t>
            </w:r>
            <w:r>
              <w:rPr>
                <w:rFonts w:hint="default" w:ascii="Times New Roman" w:hAnsi="Times New Roman" w:cs="Times New Roman"/>
                <w:b w:val="0"/>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、排放速率为1.81kg/h，氮氧化物最大排放浓度为91mg/m</w:t>
            </w:r>
            <w:r>
              <w:rPr>
                <w:rFonts w:hint="default" w:ascii="Times New Roman" w:hAnsi="Times New Roman" w:cs="Times New Roman"/>
                <w:b w:val="0"/>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、排放速率为9.70kg/h，满足《大气污染物综合排放标准》（GB16297-1996）表2二级标准。同时，热能中心湿电除尘器排气筒甲醛最大排放浓度为0.44mg/m</w:t>
            </w:r>
            <w:r>
              <w:rPr>
                <w:rFonts w:hint="default" w:ascii="Times New Roman" w:hAnsi="Times New Roman" w:cs="Times New Roman"/>
                <w:b w:val="0"/>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、非甲烷总烃最大排放浓度为7.10mg/m</w:t>
            </w:r>
            <w:r>
              <w:rPr>
                <w:rFonts w:hint="default" w:ascii="Times New Roman" w:hAnsi="Times New Roman" w:cs="Times New Roman"/>
                <w:b w:val="0"/>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；同时非甲烷总烃最小去除效率为72.63%，满足《工业企业挥发性有机物排放控制标准》（DB13/2322-2016）表2中其他企业浓度限值要求。</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②废水：</w:t>
            </w:r>
            <w:r>
              <w:rPr>
                <w:rFonts w:hint="eastAsia" w:ascii="Times New Roman" w:hAnsi="Times New Roman" w:cs="Times New Roman"/>
                <w:color w:val="000000" w:themeColor="text1"/>
                <w:sz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highlight w:val="none"/>
                <w:lang w:eastAsia="zh-CN"/>
                <w14:textFill>
                  <w14:solidFill>
                    <w14:schemeClr w14:val="tx1"/>
                  </w14:solidFill>
                </w14:textFill>
              </w:rPr>
              <w:t>项目运营期废水主要有制胶车间废水、热能中心软化废水、燃生物质锅炉的排水、循环冷却系统排水、罐区初期雨水、员工生活污水。</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highlight w:val="none"/>
                <w:lang w:eastAsia="zh-CN"/>
                <w14:textFill>
                  <w14:solidFill>
                    <w14:schemeClr w14:val="tx1"/>
                  </w14:solidFill>
                </w14:textFill>
              </w:rPr>
              <w:t>项目采用雨污分流制，雨水采用自排水方式，区内辅设雨水管道，由于目前园区雨水管网未建，项目目前雨水收集后外排南侧伊逊河，待园区雨水管网建成后在进行与园区雨水管网连接。</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制胶车间废水主要为真空废水、设备清洗废水、液体甲醛脱水废水。其中真空废水直接补充进入循环冷却系统作为循环冷却水使用，不外排；设备清洗废水收集后作为燃料补水混入燃料中，经燃烧后蒸发，不外排；醛脱水废水收集后交甲醛生产厂家再次生产使用，不外排。制胶车间内反应釜下部设围堰，用于收集事故废水。热能中心软化废水、燃生物质锅炉的排水作为清净下水通过厂区雨水管网外排；循环冷却水循环使用，不外排；甲醛储罐位于封闭的库房内，不露天设置，不存在罐区初期雨水；员工生活污水经三级化粪池处理后通过园区污水管网排入围场满族蒙古族自治县鑫汇污水净化处理中心处理，不外排。</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③噪声：</w:t>
            </w:r>
            <w:r>
              <w:rPr>
                <w:rFonts w:hint="eastAsia" w:ascii="Times New Roman" w:hAnsi="Times New Roman" w:cs="Times New Roman"/>
                <w:color w:val="000000" w:themeColor="text1"/>
                <w:sz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highlight w:val="none"/>
                <w:lang w:eastAsia="zh-CN"/>
                <w14:textFill>
                  <w14:solidFill>
                    <w14:schemeClr w14:val="tx1"/>
                  </w14:solidFill>
                </w14:textFill>
              </w:rPr>
              <w:t>项目生产运行阶段生产设备作业和车辆运输会产生噪声，通过采取封闭车间内厂房隔声、选用低噪声设备、基础减振、加强维护和保养等措施，降低选厂设备运行产生的噪声；车辆行驶过程中产生一定的噪声，通过采取车辆减速慢行，不鸣笛的措施，降低车辆行驶噪声。</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检测结果显示，</w:t>
            </w:r>
            <w:r>
              <w:rPr>
                <w:rFonts w:hint="eastAsia" w:ascii="Times New Roman" w:hAnsi="Times New Roman" w:cs="Times New Roman"/>
                <w:color w:val="000000" w:themeColor="text1"/>
                <w:sz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highlight w:val="none"/>
                <w:lang w:eastAsia="zh-CN"/>
                <w14:textFill>
                  <w14:solidFill>
                    <w14:schemeClr w14:val="tx1"/>
                  </w14:solidFill>
                </w14:textFill>
              </w:rPr>
              <w:t>项目东、南、西厂界监测点声级昼间噪声最大值为51.3dB（A），夜间噪声最大值为40.0dB（A），满足《工业企业厂界环境噪声排放标准》（GB12348-2008）3类区标准要求；北厂界监测点声级昼间噪声最大值为52.0dB（A），夜间噪声最大值为42.0dB（A），满足《工业企业厂界环境噪声排放标准》（GB12348-2008）4类区标准要求。</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④固废：</w:t>
            </w:r>
            <w:r>
              <w:rPr>
                <w:rFonts w:hint="eastAsia" w:ascii="Times New Roman" w:hAnsi="Times New Roman" w:cs="Times New Roman"/>
                <w:color w:val="000000" w:themeColor="text1"/>
                <w:sz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highlight w:val="none"/>
                <w:lang w:eastAsia="zh-CN"/>
                <w14:textFill>
                  <w14:solidFill>
                    <w14:schemeClr w14:val="tx1"/>
                  </w14:solidFill>
                </w14:textFill>
              </w:rPr>
              <w:t>项目生产运行阶段产生的固体废物为包括刨花板生产线产生的金属、树皮、不合格木片、锯屑和边角料、砂石，热能中心</w:t>
            </w:r>
            <w:r>
              <w:rPr>
                <w:rFonts w:hint="eastAsia" w:ascii="Times New Roman" w:hAnsi="Times New Roman" w:cs="Times New Roman"/>
                <w:color w:val="000000" w:themeColor="text1"/>
                <w:sz w:val="24"/>
                <w:highlight w:val="none"/>
                <w:lang w:eastAsia="zh-CN"/>
                <w14:textFill>
                  <w14:solidFill>
                    <w14:schemeClr w14:val="tx1"/>
                  </w14:solidFill>
                </w14:textFill>
              </w:rPr>
              <w:t>炉渣</w:t>
            </w:r>
            <w:r>
              <w:rPr>
                <w:rFonts w:hint="default" w:ascii="Times New Roman" w:hAnsi="Times New Roman" w:cs="Times New Roman"/>
                <w:color w:val="000000" w:themeColor="text1"/>
                <w:sz w:val="24"/>
                <w:highlight w:val="none"/>
                <w:lang w:eastAsia="zh-CN"/>
                <w14:textFill>
                  <w14:solidFill>
                    <w14:schemeClr w14:val="tx1"/>
                  </w14:solidFill>
                </w14:textFill>
              </w:rPr>
              <w:t>、除尘器收尘及员工生活垃圾和制胶生产线产生的多聚甲醛滤渣、制胶反应釜产生的底渣、胶过滤产生的胶渣，危险化学品的废包装材料如废氨水桶、废甲酸桶、废氢氧化钠包装袋、废尿素袋、废油桶等，此外还有维修产生的废润滑油，实验室产生的有机溶剂、甲醛有机废液及废酸、废碱等实验废液和沾染上述物质的一次性实验用品、含甲醛废水等危险废物。</w:t>
            </w:r>
          </w:p>
          <w:p>
            <w:pPr>
              <w:spacing w:line="500" w:lineRule="exact"/>
              <w:ind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项目采取的一般固体废物治理措施包括：刨花板生产线产生的树皮、不合格木片、锯屑和边角料、除尘器收尘送往热能中心作燃料，热能中心设粉状废料和片状废料的料仓，同时另设一燃料棚，以储存外购燃料；热能中心锅炉</w:t>
            </w:r>
            <w:r>
              <w:rPr>
                <w:rFonts w:hint="eastAsia" w:ascii="Times New Roman" w:hAnsi="Times New Roman" w:cs="Times New Roman"/>
                <w:color w:val="000000" w:themeColor="text1"/>
                <w:sz w:val="24"/>
                <w:highlight w:val="none"/>
                <w:lang w:eastAsia="zh-CN"/>
                <w14:textFill>
                  <w14:solidFill>
                    <w14:schemeClr w14:val="tx1"/>
                  </w14:solidFill>
                </w14:textFill>
              </w:rPr>
              <w:t>炉渣</w:t>
            </w:r>
            <w:r>
              <w:rPr>
                <w:rFonts w:hint="default" w:ascii="Times New Roman" w:hAnsi="Times New Roman" w:cs="Times New Roman"/>
                <w:color w:val="000000" w:themeColor="text1"/>
                <w:sz w:val="24"/>
                <w:highlight w:val="none"/>
                <w:lang w:eastAsia="zh-CN"/>
                <w14:textFill>
                  <w14:solidFill>
                    <w14:schemeClr w14:val="tx1"/>
                  </w14:solidFill>
                </w14:textFill>
              </w:rPr>
              <w:t>外售围场满族蒙古族自治县海燕新型建材有限公司；金属、砂石及员工生活垃圾一起收集后交由市政环卫部门处置。</w:t>
            </w:r>
          </w:p>
          <w:p>
            <w:pPr>
              <w:spacing w:line="500" w:lineRule="exact"/>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甲醛滤渣、釜底渣、废胶渣、实验废液、废润滑油收集于专用储存容器，废油桶及其他危险化学品的废包装材料、沾染废液的一次性实验用品，收集后存放于危险废物暂存间，甲醛滤渣、釜底渣、废胶渣、废润滑油、废油桶及其他危险化学品的废包装材料、沾染废液的一次性实验用品定期交乐亭县海畅环保科技有限公司处置；实验废液、废试剂等定期交</w:t>
            </w:r>
            <w:r>
              <w:rPr>
                <w:rFonts w:hint="eastAsia" w:ascii="Times New Roman" w:hAnsi="Times New Roman" w:cs="Times New Roman"/>
                <w:color w:val="000000" w:themeColor="text1"/>
                <w:sz w:val="24"/>
                <w:highlight w:val="none"/>
                <w:lang w:eastAsia="zh-CN"/>
                <w14:textFill>
                  <w14:solidFill>
                    <w14:schemeClr w14:val="tx1"/>
                  </w14:solidFill>
                </w14:textFill>
              </w:rPr>
              <w:t>乐亭县海畅环保科技有限公司</w:t>
            </w:r>
            <w:r>
              <w:rPr>
                <w:rFonts w:hint="default" w:ascii="Times New Roman" w:hAnsi="Times New Roman" w:cs="Times New Roman"/>
                <w:color w:val="000000" w:themeColor="text1"/>
                <w:sz w:val="24"/>
                <w:highlight w:val="none"/>
                <w:lang w:eastAsia="zh-CN"/>
                <w14:textFill>
                  <w14:solidFill>
                    <w14:schemeClr w14:val="tx1"/>
                  </w14:solidFill>
                </w14:textFill>
              </w:rPr>
              <w:t>收集转运，最终交有危险废物处置资质单位处置；含甲醛废水交由交甲醛生产厂家再次生产使用</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pPr>
              <w:autoSpaceDE w:val="0"/>
              <w:autoSpaceDN w:val="0"/>
              <w:adjustRightInd w:val="0"/>
              <w:snapToGrid w:val="0"/>
              <w:spacing w:line="360" w:lineRule="auto"/>
              <w:ind w:left="420"/>
              <w:jc w:val="left"/>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highlight w:val="none"/>
                <w14:textFill>
                  <w14:solidFill>
                    <w14:schemeClr w14:val="tx1"/>
                  </w14:solidFill>
                </w14:textFill>
              </w:rPr>
              <w:t>、现有工程污染物</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排放量</w:t>
            </w:r>
          </w:p>
          <w:p>
            <w:pPr>
              <w:spacing w:line="500" w:lineRule="exact"/>
              <w:ind w:firstLine="480" w:firstLineChars="200"/>
              <w:rPr>
                <w:rFonts w:hint="default" w:ascii="Times New Roman" w:hAnsi="Times New Roman"/>
                <w:color w:val="000000" w:themeColor="text1"/>
                <w:sz w:val="24"/>
                <w:highlight w:val="none"/>
                <w:lang w:val="en-US" w:eastAsia="zh-CN"/>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（1）废气污染物</w:t>
            </w:r>
          </w:p>
          <w:p>
            <w:pPr>
              <w:spacing w:line="500" w:lineRule="exact"/>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由于热能中心冬季燃料使用量较多，</w:t>
            </w:r>
            <w:r>
              <w:rPr>
                <w:rFonts w:hint="eastAsia" w:ascii="Times New Roman" w:hAnsi="Times New Roman" w:cs="Times New Roman"/>
                <w:color w:val="000000" w:themeColor="text1"/>
                <w:sz w:val="24"/>
                <w:highlight w:val="none"/>
                <w:lang w:val="en-US" w:eastAsia="zh-CN"/>
                <w14:textFill>
                  <w14:solidFill>
                    <w14:schemeClr w14:val="tx1"/>
                  </w14:solidFill>
                </w14:textFill>
              </w:rPr>
              <w:t>热能中心湿电除尘排气筒出口污染物速率参考企业2023年11月1日8-9时在线监测数据计算，热能中心年运行时间6750小时，其他产排污设施年运行时间7920小时。</w:t>
            </w:r>
          </w:p>
          <w:p>
            <w:pPr>
              <w:numPr>
                <w:ilvl w:val="0"/>
                <w:numId w:val="6"/>
              </w:numPr>
              <w:adjustRightInd w:val="0"/>
              <w:snapToGrid w:val="0"/>
              <w:spacing w:line="360" w:lineRule="auto"/>
              <w:ind w:left="0" w:firstLine="0"/>
              <w:jc w:val="center"/>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14:textFill>
                  <w14:solidFill>
                    <w14:schemeClr w14:val="tx1"/>
                  </w14:solidFill>
                </w14:textFill>
              </w:rPr>
              <w:t>现有工程</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有组织大气污染物排放量</w:t>
            </w:r>
            <w:r>
              <w:rPr>
                <w:rFonts w:hint="eastAsia" w:ascii="Times New Roman" w:hAnsi="Times New Roman" w:eastAsia="宋体" w:cs="Times New Roman"/>
                <w:b/>
                <w:bCs/>
                <w:color w:val="000000" w:themeColor="text1"/>
                <w:highlight w:val="none"/>
                <w14:textFill>
                  <w14:solidFill>
                    <w14:schemeClr w14:val="tx1"/>
                  </w14:solidFill>
                </w14:textFill>
              </w:rPr>
              <w:t>一览表</w:t>
            </w:r>
          </w:p>
          <w:tbl>
            <w:tblPr>
              <w:tblStyle w:val="22"/>
              <w:tblW w:w="8164"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9"/>
              <w:gridCol w:w="2489"/>
              <w:gridCol w:w="960"/>
              <w:gridCol w:w="1186"/>
              <w:gridCol w:w="930"/>
              <w:gridCol w:w="930"/>
              <w:gridCol w:w="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排气筒名称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数据来源</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排放速率（kg/h）</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运行时间（h/a）</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年排放</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量（t/a）</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削片车间</w:t>
                  </w:r>
                </w:p>
              </w:tc>
              <w:tc>
                <w:tcPr>
                  <w:tcW w:w="96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《承德森禧木业有限公司京津冀生态板材产业园项目检测报告》（（辽鹏环测）字PY2308225-001号）</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0.792 </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138.110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刨片车间1#</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4.752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筛选打磨车间筛选打磨1#</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8.078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筛选打磨车间筛选打磨2#</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7.207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筛选打磨车间风选3#</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9.029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筛选打磨车间粉尘输送系统</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2.218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压机头</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7.049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砂光纵锯裁板</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7.366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后处理</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6.970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砂光粉收集</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27.166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罗茨风机粉料输送系统</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0.475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铺装工序除尘器1#</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24.869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铺装工序除尘器2#</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7.841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刨片车间2#</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3.643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热能中心、湿电除尘排气筒出口</w:t>
                  </w:r>
                </w:p>
              </w:tc>
              <w:tc>
                <w:tcPr>
                  <w:tcW w:w="9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6750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20.655</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二氧化硫</w:t>
                  </w: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热能中心、湿电除尘排气筒出口</w:t>
                  </w:r>
                </w:p>
              </w:tc>
              <w:tc>
                <w:tcPr>
                  <w:tcW w:w="9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6750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12.212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12.212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氮氧化物</w:t>
                  </w: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热能中心、湿电除尘排气筒出口</w:t>
                  </w:r>
                </w:p>
              </w:tc>
              <w:tc>
                <w:tcPr>
                  <w:tcW w:w="9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9.70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6750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65.475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铺装工序除尘器1#</w:t>
                  </w:r>
                </w:p>
              </w:tc>
              <w:tc>
                <w:tcPr>
                  <w:tcW w:w="96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4.673 </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铺装工序除尘器2#</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1.505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热能中心、湿电除尘排气筒出口</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6750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5.130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甲醛</w:t>
                  </w: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铺装工序除尘器1#</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0.634 </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1.130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铺装工序除尘器2#</w:t>
                  </w:r>
                </w:p>
              </w:tc>
              <w:tc>
                <w:tcPr>
                  <w:tcW w:w="960"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0.158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热能中心、湿电除尘排气筒出口</w:t>
                  </w:r>
                </w:p>
              </w:tc>
              <w:tc>
                <w:tcPr>
                  <w:tcW w:w="9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6750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0.338 </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废水污染物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现有工程无废水</w:t>
            </w:r>
            <w:r>
              <w:rPr>
                <w:rFonts w:hint="eastAsia"/>
                <w:color w:val="000000" w:themeColor="text1"/>
                <w:sz w:val="24"/>
                <w:highlight w:val="none"/>
                <w:lang w:val="en-US" w:eastAsia="zh-CN"/>
                <w14:textFill>
                  <w14:solidFill>
                    <w14:schemeClr w14:val="tx1"/>
                  </w14:solidFill>
                </w14:textFill>
              </w:rPr>
              <w:t>外排</w:t>
            </w:r>
            <w:r>
              <w:rPr>
                <w:rFonts w:hint="eastAsia"/>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（3）固体废物</w:t>
            </w:r>
          </w:p>
          <w:p>
            <w:pPr>
              <w:spacing w:line="500" w:lineRule="exact"/>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根据企业提供资料，现有工程其他污染物排放情况见下表。</w:t>
            </w:r>
          </w:p>
          <w:p>
            <w:pPr>
              <w:numPr>
                <w:ilvl w:val="0"/>
                <w:numId w:val="6"/>
              </w:numPr>
              <w:adjustRightInd w:val="0"/>
              <w:snapToGrid w:val="0"/>
              <w:spacing w:line="360" w:lineRule="auto"/>
              <w:ind w:left="0" w:firstLine="0"/>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14:textFill>
                  <w14:solidFill>
                    <w14:schemeClr w14:val="tx1"/>
                  </w14:solidFill>
                </w14:textFill>
              </w:rPr>
              <w:t>现有工程</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固体废物排放情况</w:t>
            </w:r>
            <w:r>
              <w:rPr>
                <w:rFonts w:hint="eastAsia" w:ascii="Times New Roman" w:hAnsi="Times New Roman" w:eastAsia="宋体" w:cs="Times New Roman"/>
                <w:b/>
                <w:bCs/>
                <w:color w:val="000000" w:themeColor="text1"/>
                <w:highlight w:val="none"/>
                <w14:textFill>
                  <w14:solidFill>
                    <w14:schemeClr w14:val="tx1"/>
                  </w14:solidFill>
                </w14:textFill>
              </w:rPr>
              <w:t>一览表</w:t>
            </w:r>
          </w:p>
          <w:tbl>
            <w:tblPr>
              <w:tblStyle w:val="23"/>
              <w:tblW w:w="8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4545"/>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spacing w:line="500" w:lineRule="exact"/>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类别</w:t>
                  </w:r>
                </w:p>
              </w:tc>
              <w:tc>
                <w:tcPr>
                  <w:tcW w:w="4545" w:type="dxa"/>
                </w:tcPr>
                <w:p>
                  <w:pPr>
                    <w:spacing w:line="500" w:lineRule="exact"/>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污染物名称</w:t>
                  </w:r>
                </w:p>
              </w:tc>
              <w:tc>
                <w:tcPr>
                  <w:tcW w:w="2439" w:type="dxa"/>
                </w:tcPr>
                <w:p>
                  <w:pPr>
                    <w:pStyle w:val="38"/>
                    <w:keepNext w:val="0"/>
                    <w:keepLines w:val="0"/>
                    <w:pageBreakBefore w:val="0"/>
                    <w:widowControl/>
                    <w:kinsoku/>
                    <w:wordWrap/>
                    <w:overflowPunct/>
                    <w:topLinePunct w:val="0"/>
                    <w:autoSpaceDE/>
                    <w:autoSpaceDN/>
                    <w:bidi w:val="0"/>
                    <w:spacing w:beforeLines="0" w:beforeAutospacing="0" w:afterLines="0" w:afterAutospacing="0" w:line="240" w:lineRule="auto"/>
                    <w:jc w:val="center"/>
                    <w:textAlignment w:val="auto"/>
                    <w:rPr>
                      <w:rFonts w:hint="default" w:ascii="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b/>
                      <w:bCs/>
                      <w:snapToGrid w:val="0"/>
                      <w:color w:val="000000" w:themeColor="text1"/>
                      <w:spacing w:val="-6"/>
                      <w:kern w:val="21"/>
                      <w:sz w:val="21"/>
                      <w:szCs w:val="21"/>
                      <w:highlight w:val="none"/>
                      <w14:textFill>
                        <w14:solidFill>
                          <w14:schemeClr w14:val="tx1"/>
                        </w14:solidFill>
                      </w14:textFill>
                    </w:rPr>
                    <w:t>现有工程排放量</w:t>
                  </w:r>
                </w:p>
                <w:p>
                  <w:pPr>
                    <w:pStyle w:val="38"/>
                    <w:keepNext w:val="0"/>
                    <w:keepLines w:val="0"/>
                    <w:pageBreakBefore w:val="0"/>
                    <w:widowControl/>
                    <w:kinsoku/>
                    <w:wordWrap/>
                    <w:overflowPunct/>
                    <w:topLinePunct w:val="0"/>
                    <w:autoSpaceDE/>
                    <w:autoSpaceDN/>
                    <w:bidi w:val="0"/>
                    <w:spacing w:beforeLines="0" w:beforeAutospacing="0" w:afterLines="0" w:afterAutospacing="0" w:line="240" w:lineRule="auto"/>
                    <w:jc w:val="center"/>
                    <w:textAlignment w:val="auto"/>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b/>
                      <w:bCs/>
                      <w:snapToGrid w:val="0"/>
                      <w:color w:val="000000" w:themeColor="text1"/>
                      <w:spacing w:val="-6"/>
                      <w:kern w:val="21"/>
                      <w:sz w:val="21"/>
                      <w:szCs w:val="21"/>
                      <w:highlight w:val="none"/>
                      <w14:textFill>
                        <w14:solidFill>
                          <w14:schemeClr w14:val="tx1"/>
                        </w14:solidFill>
                      </w14:textFill>
                    </w:rPr>
                    <w:t>（固体废物产生量）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一般工业固体废物</w:t>
                  </w:r>
                </w:p>
              </w:tc>
              <w:tc>
                <w:tcPr>
                  <w:tcW w:w="45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金属、砂石</w:t>
                  </w:r>
                </w:p>
              </w:tc>
              <w:tc>
                <w:tcPr>
                  <w:tcW w:w="243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tcPr>
                <w:p>
                  <w:pPr>
                    <w:spacing w:line="500" w:lineRule="exact"/>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p>
              </w:tc>
              <w:tc>
                <w:tcPr>
                  <w:tcW w:w="45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树皮、粉尘、不合格木片、锯屑</w:t>
                  </w:r>
                </w:p>
              </w:tc>
              <w:tc>
                <w:tcPr>
                  <w:tcW w:w="243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46646.71t/a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tcPr>
                <w:p>
                  <w:pPr>
                    <w:spacing w:line="500" w:lineRule="exact"/>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p>
              </w:tc>
              <w:tc>
                <w:tcPr>
                  <w:tcW w:w="45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灰（炉）渣</w:t>
                  </w:r>
                </w:p>
              </w:tc>
              <w:tc>
                <w:tcPr>
                  <w:tcW w:w="243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危险废物</w:t>
                  </w:r>
                </w:p>
              </w:tc>
              <w:tc>
                <w:tcPr>
                  <w:tcW w:w="45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甲醛过滤渣、反应釜底渣、胶过滤渣</w:t>
                  </w:r>
                </w:p>
              </w:tc>
              <w:tc>
                <w:tcPr>
                  <w:tcW w:w="243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tcPr>
                <w:p>
                  <w:pPr>
                    <w:spacing w:line="500" w:lineRule="exact"/>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p>
              </w:tc>
              <w:tc>
                <w:tcPr>
                  <w:tcW w:w="45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有机溶剂、甲醛有机废液及废酸、废碱等实验废液及沾染上述物质的一次性实验用品</w:t>
                  </w:r>
                </w:p>
              </w:tc>
              <w:tc>
                <w:tcPr>
                  <w:tcW w:w="243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tcPr>
                <w:p>
                  <w:pPr>
                    <w:spacing w:line="500" w:lineRule="exact"/>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p>
              </w:tc>
              <w:tc>
                <w:tcPr>
                  <w:tcW w:w="45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废矿物油</w:t>
                  </w:r>
                </w:p>
              </w:tc>
              <w:tc>
                <w:tcPr>
                  <w:tcW w:w="243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tcPr>
                <w:p>
                  <w:pPr>
                    <w:spacing w:line="500" w:lineRule="exact"/>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p>
              </w:tc>
              <w:tc>
                <w:tcPr>
                  <w:tcW w:w="45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废油桶及其他危险化学品废包装物</w:t>
                  </w:r>
                </w:p>
              </w:tc>
              <w:tc>
                <w:tcPr>
                  <w:tcW w:w="243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10t/a</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综上</w:t>
            </w:r>
            <w:r>
              <w:rPr>
                <w:rFonts w:hint="eastAsia"/>
                <w:color w:val="000000" w:themeColor="text1"/>
                <w:sz w:val="24"/>
                <w:highlight w:val="none"/>
                <w14:textFill>
                  <w14:solidFill>
                    <w14:schemeClr w14:val="tx1"/>
                  </w14:solidFill>
                </w14:textFill>
              </w:rPr>
              <w:t>现有工程污染物排放情况</w:t>
            </w:r>
            <w:r>
              <w:rPr>
                <w:rFonts w:hint="eastAsia"/>
                <w:color w:val="000000" w:themeColor="text1"/>
                <w:sz w:val="24"/>
                <w:highlight w:val="none"/>
                <w:lang w:val="en-US" w:eastAsia="zh-CN"/>
                <w14:textFill>
                  <w14:solidFill>
                    <w14:schemeClr w14:val="tx1"/>
                  </w14:solidFill>
                </w14:textFill>
              </w:rPr>
              <w:t>见下表</w:t>
            </w:r>
          </w:p>
          <w:p>
            <w:pPr>
              <w:numPr>
                <w:ilvl w:val="0"/>
                <w:numId w:val="6"/>
              </w:numPr>
              <w:adjustRightInd w:val="0"/>
              <w:snapToGrid w:val="0"/>
              <w:ind w:left="0" w:firstLine="0"/>
              <w:jc w:val="center"/>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14:textFill>
                  <w14:solidFill>
                    <w14:schemeClr w14:val="tx1"/>
                  </w14:solidFill>
                </w14:textFill>
              </w:rPr>
              <w:t>现有工程</w:t>
            </w:r>
            <w:r>
              <w:rPr>
                <w:rFonts w:ascii="Times New Roman" w:hAnsi="Times New Roman" w:eastAsia="宋体" w:cs="Times New Roman"/>
                <w:b/>
                <w:bCs/>
                <w:color w:val="000000" w:themeColor="text1"/>
                <w:highlight w:val="none"/>
                <w14:textFill>
                  <w14:solidFill>
                    <w14:schemeClr w14:val="tx1"/>
                  </w14:solidFill>
                </w14:textFill>
              </w:rPr>
              <w:t>污染物排放情况</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00"/>
              <w:gridCol w:w="3510"/>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pct"/>
                  <w:gridSpan w:val="2"/>
                  <w:vAlign w:val="center"/>
                </w:tcPr>
                <w:p>
                  <w:pPr>
                    <w:adjustRightInd w:val="0"/>
                    <w:spacing w:line="240" w:lineRule="atLeast"/>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项目</w:t>
                  </w:r>
                </w:p>
              </w:tc>
              <w:tc>
                <w:tcPr>
                  <w:tcW w:w="2127" w:type="pct"/>
                  <w:vAlign w:val="center"/>
                </w:tcPr>
                <w:p>
                  <w:pPr>
                    <w:adjustRightInd w:val="0"/>
                    <w:spacing w:line="240" w:lineRule="atLeast"/>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污染物名称</w:t>
                  </w:r>
                </w:p>
              </w:tc>
              <w:tc>
                <w:tcPr>
                  <w:tcW w:w="2034" w:type="pct"/>
                  <w:vAlign w:val="center"/>
                </w:tcPr>
                <w:p>
                  <w:pPr>
                    <w:adjustRightInd w:val="0"/>
                    <w:spacing w:line="240" w:lineRule="atLeast"/>
                    <w:jc w:val="center"/>
                    <w:rPr>
                      <w:rFonts w:hint="eastAsia" w:ascii="Times New Roman" w:hAnsi="Times New Roman" w:cs="Times New Roman" w:eastAsiaTheme="minorEastAsia"/>
                      <w:b/>
                      <w:bCs/>
                      <w:color w:val="000000" w:themeColor="text1"/>
                      <w:szCs w:val="21"/>
                      <w:highlight w:val="none"/>
                      <w:lang w:eastAsia="zh-CN"/>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排放量（固体废物产生量）</w:t>
                  </w:r>
                  <w:r>
                    <w:rPr>
                      <w:rFonts w:hint="eastAsia" w:ascii="Times New Roman" w:hAnsi="Times New Roman" w:cs="Times New Roman"/>
                      <w:b/>
                      <w:bCs/>
                      <w:color w:val="000000" w:themeColor="text1"/>
                      <w:szCs w:val="21"/>
                      <w:highlight w:val="none"/>
                      <w:lang w:eastAsia="zh-CN"/>
                      <w14:textFill>
                        <w14:solidFill>
                          <w14:schemeClr w14:val="tx1"/>
                        </w14:solidFill>
                      </w14:textFill>
                    </w:rPr>
                    <w:t>（</w:t>
                  </w:r>
                  <w:r>
                    <w:rPr>
                      <w:rFonts w:ascii="Times New Roman" w:hAnsi="Times New Roman" w:cs="Times New Roman"/>
                      <w:b/>
                      <w:bCs/>
                      <w:color w:val="000000" w:themeColor="text1"/>
                      <w:szCs w:val="21"/>
                      <w:highlight w:val="none"/>
                      <w14:textFill>
                        <w14:solidFill>
                          <w14:schemeClr w14:val="tx1"/>
                        </w14:solidFill>
                      </w14:textFill>
                    </w:rPr>
                    <w:t>t/a</w:t>
                  </w:r>
                  <w:r>
                    <w:rPr>
                      <w:rFonts w:hint="eastAsia" w:ascii="Times New Roman" w:hAnsi="Times New Roman" w:cs="Times New Roman"/>
                      <w:b/>
                      <w:bCs/>
                      <w:color w:val="000000" w:themeColor="text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pct"/>
                  <w:gridSpan w:val="2"/>
                  <w:vMerge w:val="restart"/>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废气</w:t>
                  </w:r>
                </w:p>
              </w:tc>
              <w:tc>
                <w:tcPr>
                  <w:tcW w:w="2127" w:type="pct"/>
                  <w:vAlign w:val="center"/>
                </w:tcPr>
                <w:p>
                  <w:pPr>
                    <w:adjustRightInd w:val="0"/>
                    <w:spacing w:line="240" w:lineRule="atLeast"/>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颗粒物</w:t>
                  </w:r>
                </w:p>
              </w:tc>
              <w:tc>
                <w:tcPr>
                  <w:tcW w:w="2034" w:type="pct"/>
                  <w:vAlign w:val="center"/>
                </w:tcPr>
                <w:p>
                  <w:pPr>
                    <w:widowControl/>
                    <w:jc w:val="center"/>
                    <w:textAlignment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138.110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pct"/>
                  <w:gridSpan w:val="2"/>
                  <w:vMerge w:val="continue"/>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p>
              </w:tc>
              <w:tc>
                <w:tcPr>
                  <w:tcW w:w="2127" w:type="pct"/>
                  <w:vAlign w:val="center"/>
                </w:tcPr>
                <w:p>
                  <w:pPr>
                    <w:adjustRightInd w:val="0"/>
                    <w:spacing w:line="240" w:lineRule="atLeas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SO</w:t>
                  </w:r>
                  <w:r>
                    <w:rPr>
                      <w:rFonts w:ascii="Times New Roman" w:hAnsi="Times New Roman" w:cs="Times New Roman"/>
                      <w:color w:val="000000" w:themeColor="text1"/>
                      <w:szCs w:val="21"/>
                      <w:highlight w:val="none"/>
                      <w:vertAlign w:val="subscript"/>
                      <w14:textFill>
                        <w14:solidFill>
                          <w14:schemeClr w14:val="tx1"/>
                        </w14:solidFill>
                      </w14:textFill>
                    </w:rPr>
                    <w:t>2</w:t>
                  </w:r>
                </w:p>
              </w:tc>
              <w:tc>
                <w:tcPr>
                  <w:tcW w:w="2034" w:type="pct"/>
                  <w:vAlign w:val="center"/>
                </w:tcPr>
                <w:p>
                  <w:pPr>
                    <w:widowControl/>
                    <w:jc w:val="center"/>
                    <w:textAlignment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pct"/>
                  <w:gridSpan w:val="2"/>
                  <w:vMerge w:val="continue"/>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p>
              </w:tc>
              <w:tc>
                <w:tcPr>
                  <w:tcW w:w="2127" w:type="pct"/>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x</w:t>
                  </w:r>
                </w:p>
              </w:tc>
              <w:tc>
                <w:tcPr>
                  <w:tcW w:w="2034" w:type="pct"/>
                  <w:vAlign w:val="center"/>
                </w:tcPr>
                <w:p>
                  <w:pPr>
                    <w:widowControl/>
                    <w:jc w:val="center"/>
                    <w:textAlignment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65.475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pct"/>
                  <w:gridSpan w:val="2"/>
                  <w:vMerge w:val="continue"/>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p>
              </w:tc>
              <w:tc>
                <w:tcPr>
                  <w:tcW w:w="2127" w:type="pct"/>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甲醛</w:t>
                  </w:r>
                </w:p>
              </w:tc>
              <w:tc>
                <w:tcPr>
                  <w:tcW w:w="2034" w:type="pct"/>
                  <w:vAlign w:val="center"/>
                </w:tcPr>
                <w:p>
                  <w:pPr>
                    <w:widowControl/>
                    <w:jc w:val="center"/>
                    <w:textAlignment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pct"/>
                  <w:gridSpan w:val="2"/>
                  <w:vMerge w:val="continue"/>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p>
              </w:tc>
              <w:tc>
                <w:tcPr>
                  <w:tcW w:w="2127" w:type="pct"/>
                  <w:vAlign w:val="center"/>
                </w:tcPr>
                <w:p>
                  <w:pPr>
                    <w:adjustRightInd w:val="0"/>
                    <w:spacing w:line="240" w:lineRule="atLeast"/>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2034" w:type="pct"/>
                  <w:vAlign w:val="center"/>
                </w:tcPr>
                <w:p>
                  <w:pPr>
                    <w:widowControl/>
                    <w:jc w:val="center"/>
                    <w:textAlignment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11.308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vMerge w:val="restart"/>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固体废物</w:t>
                  </w:r>
                </w:p>
              </w:tc>
              <w:tc>
                <w:tcPr>
                  <w:tcW w:w="545" w:type="pct"/>
                  <w:vMerge w:val="restart"/>
                  <w:vAlign w:val="center"/>
                </w:tcPr>
                <w:p>
                  <w:pPr>
                    <w:pStyle w:val="38"/>
                    <w:widowControl/>
                    <w:spacing w:before="31" w:after="31" w:line="240" w:lineRule="auto"/>
                    <w:rPr>
                      <w:rFonts w:hint="default"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一般工业固体废物</w:t>
                  </w:r>
                </w:p>
              </w:tc>
              <w:tc>
                <w:tcPr>
                  <w:tcW w:w="21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金属、砂石</w:t>
                  </w:r>
                </w:p>
              </w:tc>
              <w:tc>
                <w:tcPr>
                  <w:tcW w:w="203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vMerge w:val="continue"/>
                  <w:vAlign w:val="center"/>
                </w:tcPr>
                <w:p>
                  <w:pPr>
                    <w:spacing w:line="240" w:lineRule="atLeast"/>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545" w:type="pct"/>
                  <w:vMerge w:val="continue"/>
                  <w:vAlign w:val="center"/>
                </w:tcPr>
                <w:p>
                  <w:pPr>
                    <w:pStyle w:val="38"/>
                    <w:widowControl/>
                    <w:spacing w:before="31" w:after="31" w:line="240" w:lineRule="auto"/>
                    <w:rPr>
                      <w:rFonts w:ascii="Times New Roman"/>
                      <w:color w:val="000000" w:themeColor="text1"/>
                      <w:szCs w:val="21"/>
                      <w:highlight w:val="none"/>
                      <w14:textFill>
                        <w14:solidFill>
                          <w14:schemeClr w14:val="tx1"/>
                        </w14:solidFill>
                      </w14:textFill>
                    </w:rPr>
                  </w:pPr>
                </w:p>
              </w:tc>
              <w:tc>
                <w:tcPr>
                  <w:tcW w:w="21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树皮、粉尘、不合格木片、锯屑</w:t>
                  </w:r>
                </w:p>
              </w:tc>
              <w:tc>
                <w:tcPr>
                  <w:tcW w:w="203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46646.71t/a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vMerge w:val="continue"/>
                  <w:vAlign w:val="center"/>
                </w:tcPr>
                <w:p>
                  <w:pPr>
                    <w:spacing w:line="240" w:lineRule="atLeast"/>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545" w:type="pct"/>
                  <w:vMerge w:val="continue"/>
                  <w:vAlign w:val="center"/>
                </w:tcPr>
                <w:p>
                  <w:pPr>
                    <w:pStyle w:val="38"/>
                    <w:widowControl/>
                    <w:spacing w:before="31" w:after="31" w:line="240" w:lineRule="auto"/>
                    <w:rPr>
                      <w:rFonts w:ascii="Times New Roman"/>
                      <w:color w:val="000000" w:themeColor="text1"/>
                      <w:szCs w:val="21"/>
                      <w:highlight w:val="none"/>
                      <w14:textFill>
                        <w14:solidFill>
                          <w14:schemeClr w14:val="tx1"/>
                        </w14:solidFill>
                      </w14:textFill>
                    </w:rPr>
                  </w:pPr>
                </w:p>
              </w:tc>
              <w:tc>
                <w:tcPr>
                  <w:tcW w:w="21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灰（炉）渣</w:t>
                  </w:r>
                </w:p>
              </w:tc>
              <w:tc>
                <w:tcPr>
                  <w:tcW w:w="203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vMerge w:val="continue"/>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p>
              </w:tc>
              <w:tc>
                <w:tcPr>
                  <w:tcW w:w="545" w:type="pct"/>
                  <w:vMerge w:val="restart"/>
                  <w:vAlign w:val="center"/>
                </w:tcPr>
                <w:p>
                  <w:pPr>
                    <w:pStyle w:val="38"/>
                    <w:widowControl/>
                    <w:spacing w:before="31" w:after="31" w:line="240" w:lineRule="auto"/>
                    <w:rPr>
                      <w:rFonts w:hint="default"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危险废物</w:t>
                  </w:r>
                </w:p>
              </w:tc>
              <w:tc>
                <w:tcPr>
                  <w:tcW w:w="21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甲醛过滤渣、反应釜底渣、胶过滤渣</w:t>
                  </w:r>
                </w:p>
              </w:tc>
              <w:tc>
                <w:tcPr>
                  <w:tcW w:w="203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vMerge w:val="continue"/>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p>
              </w:tc>
              <w:tc>
                <w:tcPr>
                  <w:tcW w:w="545" w:type="pct"/>
                  <w:vMerge w:val="continue"/>
                  <w:vAlign w:val="center"/>
                </w:tcPr>
                <w:p>
                  <w:pPr>
                    <w:pStyle w:val="38"/>
                    <w:widowControl/>
                    <w:spacing w:before="31" w:after="31" w:line="240" w:lineRule="auto"/>
                    <w:rPr>
                      <w:rFonts w:ascii="Times New Roman"/>
                      <w:color w:val="000000" w:themeColor="text1"/>
                      <w:szCs w:val="21"/>
                      <w:highlight w:val="none"/>
                      <w14:textFill>
                        <w14:solidFill>
                          <w14:schemeClr w14:val="tx1"/>
                        </w14:solidFill>
                      </w14:textFill>
                    </w:rPr>
                  </w:pPr>
                </w:p>
              </w:tc>
              <w:tc>
                <w:tcPr>
                  <w:tcW w:w="21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有机溶剂、甲醛有机废液及废酸、废碱等实验废液及沾染上述物质的一次性实验用品</w:t>
                  </w:r>
                </w:p>
              </w:tc>
              <w:tc>
                <w:tcPr>
                  <w:tcW w:w="203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vMerge w:val="continue"/>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p>
              </w:tc>
              <w:tc>
                <w:tcPr>
                  <w:tcW w:w="545" w:type="pct"/>
                  <w:vMerge w:val="continue"/>
                  <w:vAlign w:val="center"/>
                </w:tcPr>
                <w:p>
                  <w:pPr>
                    <w:pStyle w:val="38"/>
                    <w:widowControl/>
                    <w:spacing w:before="31" w:after="31" w:line="240" w:lineRule="auto"/>
                    <w:rPr>
                      <w:rFonts w:ascii="Times New Roman"/>
                      <w:color w:val="000000" w:themeColor="text1"/>
                      <w:szCs w:val="21"/>
                      <w:highlight w:val="none"/>
                      <w14:textFill>
                        <w14:solidFill>
                          <w14:schemeClr w14:val="tx1"/>
                        </w14:solidFill>
                      </w14:textFill>
                    </w:rPr>
                  </w:pPr>
                </w:p>
              </w:tc>
              <w:tc>
                <w:tcPr>
                  <w:tcW w:w="21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废矿物油</w:t>
                  </w:r>
                </w:p>
              </w:tc>
              <w:tc>
                <w:tcPr>
                  <w:tcW w:w="203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vMerge w:val="continue"/>
                  <w:vAlign w:val="center"/>
                </w:tcPr>
                <w:p>
                  <w:pPr>
                    <w:spacing w:line="240" w:lineRule="atLeast"/>
                    <w:jc w:val="center"/>
                    <w:rPr>
                      <w:rFonts w:ascii="Times New Roman" w:hAnsi="Times New Roman" w:cs="Times New Roman"/>
                      <w:color w:val="000000" w:themeColor="text1"/>
                      <w:szCs w:val="21"/>
                      <w:highlight w:val="none"/>
                      <w14:textFill>
                        <w14:solidFill>
                          <w14:schemeClr w14:val="tx1"/>
                        </w14:solidFill>
                      </w14:textFill>
                    </w:rPr>
                  </w:pPr>
                </w:p>
              </w:tc>
              <w:tc>
                <w:tcPr>
                  <w:tcW w:w="545" w:type="pct"/>
                  <w:vMerge w:val="continue"/>
                  <w:vAlign w:val="center"/>
                </w:tcPr>
                <w:p>
                  <w:pPr>
                    <w:pStyle w:val="38"/>
                    <w:widowControl/>
                    <w:spacing w:before="31" w:after="31" w:line="240" w:lineRule="auto"/>
                    <w:rPr>
                      <w:rFonts w:hint="default" w:ascii="Times New Roman"/>
                      <w:color w:val="000000" w:themeColor="text1"/>
                      <w:szCs w:val="21"/>
                      <w:highlight w:val="none"/>
                      <w14:textFill>
                        <w14:solidFill>
                          <w14:schemeClr w14:val="tx1"/>
                        </w14:solidFill>
                      </w14:textFill>
                    </w:rPr>
                  </w:pPr>
                </w:p>
              </w:tc>
              <w:tc>
                <w:tcPr>
                  <w:tcW w:w="21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废油桶及其他危险化学品废包装物</w:t>
                  </w:r>
                </w:p>
              </w:tc>
              <w:tc>
                <w:tcPr>
                  <w:tcW w:w="203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10t/a</w:t>
                  </w:r>
                </w:p>
              </w:tc>
            </w:tr>
          </w:tbl>
          <w:p>
            <w:pPr>
              <w:spacing w:line="360" w:lineRule="auto"/>
              <w:ind w:firstLine="482" w:firstLineChars="200"/>
              <w:rPr>
                <w:rFonts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lang w:val="en-US" w:eastAsia="zh-CN"/>
                <w14:textFill>
                  <w14:solidFill>
                    <w14:schemeClr w14:val="tx1"/>
                  </w14:solidFill>
                </w14:textFill>
              </w:rPr>
              <w:t>6</w:t>
            </w:r>
            <w:r>
              <w:rPr>
                <w:rFonts w:hint="eastAsia" w:ascii="Times New Roman" w:hAnsi="Times New Roman"/>
                <w:b/>
                <w:bCs/>
                <w:color w:val="000000" w:themeColor="text1"/>
                <w:sz w:val="24"/>
                <w:highlight w:val="none"/>
                <w14:textFill>
                  <w14:solidFill>
                    <w14:schemeClr w14:val="tx1"/>
                  </w14:solidFill>
                </w14:textFill>
              </w:rPr>
              <w:t>、与本项目有关的主要环境问题及整改措施</w:t>
            </w:r>
          </w:p>
          <w:p>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（1）</w:t>
            </w:r>
            <w:r>
              <w:rPr>
                <w:rFonts w:hint="eastAsia" w:ascii="Times New Roman" w:hAnsi="Times New Roman"/>
                <w:color w:val="000000" w:themeColor="text1"/>
                <w:sz w:val="24"/>
                <w:highlight w:val="none"/>
                <w14:textFill>
                  <w14:solidFill>
                    <w14:schemeClr w14:val="tx1"/>
                  </w14:solidFill>
                </w14:textFill>
              </w:rPr>
              <w:t>与本项目有关的主要环境问题</w:t>
            </w:r>
          </w:p>
          <w:p>
            <w:pPr>
              <w:spacing w:line="360" w:lineRule="auto"/>
              <w:ind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根据现场调查，与本项目有关的主要环境问题如下：</w:t>
            </w:r>
          </w:p>
          <w:p>
            <w:pPr>
              <w:spacing w:line="360" w:lineRule="auto"/>
              <w:ind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①现有鼓风设备不能满足45MW锅炉冬季鼓风量需求，致使热能中心45MW锅炉的冬季负压较大，供热量不够，不能满足生产需求</w:t>
            </w:r>
            <w:r>
              <w:rPr>
                <w:rFonts w:hint="eastAsia" w:ascii="Times New Roman" w:hAnsi="Times New Roman"/>
                <w:color w:val="000000" w:themeColor="text1"/>
                <w:sz w:val="24"/>
                <w:highlight w:val="none"/>
                <w14:textFill>
                  <w14:solidFill>
                    <w14:schemeClr w14:val="tx1"/>
                  </w14:solidFill>
                </w14:textFill>
              </w:rPr>
              <w:t>。</w:t>
            </w:r>
          </w:p>
          <w:p>
            <w:pPr>
              <w:spacing w:line="360" w:lineRule="auto"/>
              <w:ind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②企业现有污染物</w:t>
            </w:r>
            <w:r>
              <w:rPr>
                <w:rFonts w:hint="default" w:ascii="Times New Roman" w:hAnsi="Times New Roman" w:cs="Times New Roman"/>
                <w:color w:val="000000" w:themeColor="text1"/>
                <w:sz w:val="24"/>
                <w:highlight w:val="none"/>
                <w14:textFill>
                  <w14:solidFill>
                    <w14:schemeClr w14:val="tx1"/>
                  </w14:solidFill>
                </w14:textFill>
              </w:rPr>
              <w:t>控制指标为：SO</w:t>
            </w:r>
            <w:r>
              <w:rPr>
                <w:rFonts w:hint="default" w:ascii="Times New Roman" w:hAnsi="Times New Roman" w:cs="Times New Roman"/>
                <w:color w:val="000000" w:themeColor="text1"/>
                <w:sz w:val="24"/>
                <w:highlight w:val="none"/>
                <w:vertAlign w:val="sub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26.03</w:t>
            </w:r>
            <w:r>
              <w:rPr>
                <w:rFonts w:hint="default" w:ascii="Times New Roman" w:hAnsi="Times New Roman" w:cs="Times New Roman"/>
                <w:color w:val="000000" w:themeColor="text1"/>
                <w:sz w:val="24"/>
                <w:highlight w:val="none"/>
                <w14:textFill>
                  <w14:solidFill>
                    <w14:schemeClr w14:val="tx1"/>
                  </w14:solidFill>
                </w14:textFill>
              </w:rPr>
              <w:t>t/a，NOx：</w:t>
            </w:r>
            <w:r>
              <w:rPr>
                <w:rFonts w:hint="eastAsia" w:ascii="Times New Roman" w:hAnsi="Times New Roman" w:cs="Times New Roman"/>
                <w:color w:val="000000" w:themeColor="text1"/>
                <w:sz w:val="24"/>
                <w:highlight w:val="none"/>
                <w:lang w:val="en-US" w:eastAsia="zh-CN"/>
                <w14:textFill>
                  <w14:solidFill>
                    <w14:schemeClr w14:val="tx1"/>
                  </w14:solidFill>
                </w14:textFill>
              </w:rPr>
              <w:t>55.8</w:t>
            </w:r>
            <w:r>
              <w:rPr>
                <w:rFonts w:hint="default" w:ascii="Times New Roman" w:hAnsi="Times New Roman" w:cs="Times New Roman"/>
                <w:color w:val="000000" w:themeColor="text1"/>
                <w:sz w:val="24"/>
                <w:highlight w:val="none"/>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不能满足实际生产需求。</w:t>
            </w:r>
          </w:p>
          <w:p>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（2）整改措施</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针对现有环境问题，建设单位拟采取的整改措施如下：</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①增加</w:t>
            </w:r>
            <w:r>
              <w:rPr>
                <w:rFonts w:hint="default" w:ascii="Times New Roman" w:hAnsi="Times New Roman" w:cs="Times New Roman"/>
                <w:color w:val="000000" w:themeColor="text1"/>
                <w:sz w:val="24"/>
                <w:highlight w:val="none"/>
                <w:lang w:val="en-US" w:eastAsia="zh-CN"/>
                <w14:textFill>
                  <w14:solidFill>
                    <w14:schemeClr w14:val="tx1"/>
                  </w14:solidFill>
                </w14:textFill>
              </w:rPr>
              <w:t>热能中心一次鼓风机的风量</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将一次鼓风机风量升级为75000m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/h，将现有45m高排气筒加高至55m</w:t>
            </w:r>
            <w:r>
              <w:rPr>
                <w:rFonts w:hint="default" w:ascii="Times New Roman" w:hAnsi="Times New Roman" w:cs="Times New Roman"/>
                <w:color w:val="000000" w:themeColor="text1"/>
                <w:sz w:val="24"/>
                <w:highlight w:val="none"/>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②按实际生产需求</w:t>
            </w:r>
            <w:r>
              <w:rPr>
                <w:rFonts w:hint="default" w:ascii="Times New Roman" w:hAnsi="Times New Roman" w:cs="Times New Roman"/>
                <w:color w:val="000000" w:themeColor="text1"/>
                <w:sz w:val="24"/>
                <w:highlight w:val="none"/>
                <w:lang w:val="en-US" w:eastAsia="zh-CN"/>
                <w14:textFill>
                  <w14:solidFill>
                    <w14:schemeClr w14:val="tx1"/>
                  </w14:solidFill>
                </w14:textFill>
              </w:rPr>
              <w:t>重新核实</w:t>
            </w:r>
            <w:r>
              <w:rPr>
                <w:rFonts w:hint="eastAsia" w:ascii="宋体" w:hAnsi="宋体" w:eastAsia="宋体" w:cs="宋体"/>
                <w:color w:val="000000" w:themeColor="text1"/>
                <w:sz w:val="24"/>
                <w:highlight w:val="none"/>
                <w:lang w:val="en-US" w:eastAsia="zh-CN"/>
                <w14:textFill>
                  <w14:solidFill>
                    <w14:schemeClr w14:val="tx1"/>
                  </w14:solidFill>
                </w14:textFill>
              </w:rPr>
              <w:t>“二氧化硫、氮氧化物”</w:t>
            </w:r>
            <w:r>
              <w:rPr>
                <w:rFonts w:hint="default" w:ascii="Times New Roman" w:hAnsi="Times New Roman" w:cs="Times New Roman"/>
                <w:color w:val="000000" w:themeColor="text1"/>
                <w:sz w:val="24"/>
                <w:highlight w:val="none"/>
                <w:lang w:val="en-US" w:eastAsia="zh-CN"/>
                <w14:textFill>
                  <w14:solidFill>
                    <w14:schemeClr w14:val="tx1"/>
                  </w14:solidFill>
                </w14:textFill>
              </w:rPr>
              <w:t>排放总量指标</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p>
          <w:p>
            <w:pPr>
              <w:pStyle w:val="60"/>
              <w:snapToGrid w:val="0"/>
              <w:spacing w:before="0" w:after="0" w:line="360" w:lineRule="auto"/>
              <w:ind w:firstLine="0"/>
              <w:rPr>
                <w:rFonts w:ascii="Times New Roman" w:hAnsi="Times New Roman" w:eastAsia="宋体" w:cs="Times New Roman"/>
                <w:color w:val="000000" w:themeColor="text1"/>
                <w:sz w:val="24"/>
                <w:highlight w:val="none"/>
                <w14:textFill>
                  <w14:solidFill>
                    <w14:schemeClr w14:val="tx1"/>
                  </w14:solidFill>
                </w14:textFill>
              </w:rPr>
            </w:pPr>
          </w:p>
        </w:tc>
      </w:tr>
    </w:tbl>
    <w:p>
      <w:pPr>
        <w:rPr>
          <w:rFonts w:ascii="黑体" w:hAnsi="宋体" w:eastAsia="黑体" w:cs="Times New Roman"/>
          <w:snapToGrid w:val="0"/>
          <w:color w:val="000000" w:themeColor="text1"/>
          <w:sz w:val="36"/>
          <w:szCs w:val="36"/>
          <w:highlight w:val="none"/>
          <w:lang w:bidi="ar"/>
          <w14:textFill>
            <w14:solidFill>
              <w14:schemeClr w14:val="tx1"/>
            </w14:solidFill>
          </w14:textFill>
        </w:rPr>
        <w:sectPr>
          <w:pgSz w:w="11906" w:h="16838"/>
          <w:pgMar w:top="1702" w:right="1531" w:bottom="1702" w:left="1531" w:header="851" w:footer="851" w:gutter="0"/>
          <w:cols w:space="425" w:num="1"/>
          <w:docGrid w:type="lines" w:linePitch="312" w:charSpace="0"/>
        </w:sectPr>
      </w:pPr>
    </w:p>
    <w:p>
      <w:pPr>
        <w:pStyle w:val="17"/>
        <w:jc w:val="center"/>
        <w:outlineLvl w:val="0"/>
        <w:rPr>
          <w:rFonts w:hint="default" w:ascii="黑体" w:eastAsia="黑体" w:cs="黑体"/>
          <w:snapToGrid w:val="0"/>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6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9" w:hRule="atLeast"/>
          <w:jc w:val="center"/>
        </w:trPr>
        <w:tc>
          <w:tcPr>
            <w:tcW w:w="438" w:type="dxa"/>
            <w:tcBorders>
              <w:top w:val="single" w:color="auto" w:sz="8"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lang w:bidi="ar"/>
                <w14:textFill>
                  <w14:solidFill>
                    <w14:schemeClr w14:val="tx1"/>
                  </w14:solidFill>
                </w14:textFill>
              </w:rPr>
              <w:t>区域环境质量现状</w:t>
            </w:r>
          </w:p>
        </w:tc>
        <w:tc>
          <w:tcPr>
            <w:tcW w:w="8631" w:type="dxa"/>
            <w:tcBorders>
              <w:top w:val="single" w:color="auto" w:sz="8" w:space="0"/>
              <w:left w:val="single" w:color="auto" w:sz="4" w:space="0"/>
              <w:bottom w:val="single" w:color="auto" w:sz="8" w:space="0"/>
              <w:right w:val="single" w:color="auto" w:sz="8" w:space="0"/>
            </w:tcBorders>
            <w:shd w:val="clear" w:color="auto" w:fill="auto"/>
            <w:vAlign w:val="center"/>
          </w:tcPr>
          <w:p>
            <w:pPr>
              <w:adjustRightInd w:val="0"/>
              <w:snapToGrid w:val="0"/>
              <w:spacing w:line="360" w:lineRule="auto"/>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highlight w:val="none"/>
                <w14:textFill>
                  <w14:solidFill>
                    <w14:schemeClr w14:val="tx1"/>
                  </w14:solidFill>
                </w14:textFill>
              </w:rPr>
              <w:t>1、环境空气质量现状</w:t>
            </w:r>
          </w:p>
          <w:p>
            <w:pPr>
              <w:pStyle w:val="59"/>
              <w:ind w:firstLine="48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（1）环境质量公报</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项目所在区域</w:t>
            </w:r>
            <w:r>
              <w:rPr>
                <w:rFonts w:hint="eastAsia" w:ascii="Times New Roman" w:hAnsi="Times New Roman" w:eastAsia="宋体" w:cs="Times New Roman"/>
                <w:color w:val="000000" w:themeColor="text1"/>
                <w:sz w:val="24"/>
                <w:highlight w:val="none"/>
                <w14:textFill>
                  <w14:solidFill>
                    <w14:schemeClr w14:val="tx1"/>
                  </w14:solidFill>
                </w14:textFill>
              </w:rPr>
              <w:t>环境空气质量执行</w:t>
            </w:r>
            <w:r>
              <w:rPr>
                <w:rFonts w:ascii="Times New Roman" w:hAnsi="Times New Roman" w:cs="Times New Roman"/>
                <w:color w:val="000000" w:themeColor="text1"/>
                <w:sz w:val="24"/>
                <w:highlight w:val="none"/>
                <w14:textFill>
                  <w14:solidFill>
                    <w14:schemeClr w14:val="tx1"/>
                  </w14:solidFill>
                </w14:textFill>
              </w:rPr>
              <w:t>《环境空气质量标准》（GB3095-2012）及其修改单中的二级标准要求。</w:t>
            </w:r>
            <w:r>
              <w:rPr>
                <w:rFonts w:ascii="Times New Roman" w:hAnsi="Times New Roman" w:eastAsia="宋体" w:cs="Times New Roman"/>
                <w:color w:val="000000" w:themeColor="text1"/>
                <w:sz w:val="24"/>
                <w:highlight w:val="none"/>
                <w14:textFill>
                  <w14:solidFill>
                    <w14:schemeClr w14:val="tx1"/>
                  </w14:solidFill>
                </w14:textFill>
              </w:rPr>
              <w:t>本评价引用</w:t>
            </w:r>
            <w:r>
              <w:rPr>
                <w:rFonts w:ascii="Times New Roman" w:hAnsi="Times New Roman" w:cs="Times New Roman"/>
                <w:color w:val="000000" w:themeColor="text1"/>
                <w:sz w:val="24"/>
                <w:highlight w:val="none"/>
                <w14:textFill>
                  <w14:solidFill>
                    <w14:schemeClr w14:val="tx1"/>
                  </w14:solidFill>
                </w14:textFill>
              </w:rPr>
              <w:t>《202</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年承德市生态环境状况公报》</w:t>
            </w:r>
            <w:r>
              <w:rPr>
                <w:rFonts w:ascii="Times New Roman" w:hAnsi="Times New Roman" w:eastAsia="宋体" w:cs="Times New Roman"/>
                <w:color w:val="000000" w:themeColor="text1"/>
                <w:sz w:val="24"/>
                <w:highlight w:val="none"/>
                <w14:textFill>
                  <w14:solidFill>
                    <w14:schemeClr w14:val="tx1"/>
                  </w14:solidFill>
                </w14:textFill>
              </w:rPr>
              <w:t>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围场</w:t>
            </w:r>
            <w:r>
              <w:rPr>
                <w:rFonts w:hint="eastAsia" w:ascii="Times New Roman" w:hAnsi="Times New Roman" w:eastAsia="宋体" w:cs="Times New Roman"/>
                <w:color w:val="000000" w:themeColor="text1"/>
                <w:sz w:val="24"/>
                <w:highlight w:val="none"/>
                <w14:textFill>
                  <w14:solidFill>
                    <w14:schemeClr w14:val="tx1"/>
                  </w14:solidFill>
                </w14:textFill>
              </w:rPr>
              <w:t>县</w:t>
            </w:r>
            <w:r>
              <w:rPr>
                <w:rFonts w:ascii="Times New Roman" w:hAnsi="Times New Roman" w:eastAsia="宋体" w:cs="Times New Roman"/>
                <w:color w:val="000000" w:themeColor="text1"/>
                <w:sz w:val="24"/>
                <w:highlight w:val="none"/>
                <w14:textFill>
                  <w14:solidFill>
                    <w14:schemeClr w14:val="tx1"/>
                  </w14:solidFill>
                </w14:textFill>
              </w:rPr>
              <w:t>环境空气常规现状监测统计资料，来说明拟建地区的环境空气质量，监测结果见</w:t>
            </w:r>
            <w:r>
              <w:rPr>
                <w:rFonts w:hint="eastAsia" w:ascii="Times New Roman" w:hAnsi="Times New Roman" w:eastAsia="宋体" w:cs="Times New Roman"/>
                <w:color w:val="000000" w:themeColor="text1"/>
                <w:sz w:val="24"/>
                <w:highlight w:val="none"/>
                <w14:textFill>
                  <w14:solidFill>
                    <w14:schemeClr w14:val="tx1"/>
                  </w14:solidFill>
                </w14:textFill>
              </w:rPr>
              <w:t>下</w:t>
            </w:r>
            <w:r>
              <w:rPr>
                <w:rFonts w:ascii="Times New Roman" w:hAnsi="Times New Roman" w:eastAsia="宋体" w:cs="Times New Roman"/>
                <w:color w:val="000000" w:themeColor="text1"/>
                <w:sz w:val="24"/>
                <w:highlight w:val="none"/>
                <w14:textFill>
                  <w14:solidFill>
                    <w14:schemeClr w14:val="tx1"/>
                  </w14:solidFill>
                </w14:textFill>
              </w:rPr>
              <w:t>表。</w:t>
            </w:r>
          </w:p>
          <w:p>
            <w:pPr>
              <w:pStyle w:val="47"/>
              <w:numPr>
                <w:ilvl w:val="0"/>
                <w:numId w:val="8"/>
              </w:numPr>
              <w:autoSpaceDE w:val="0"/>
              <w:autoSpaceDN w:val="0"/>
              <w:adjustRightInd w:val="0"/>
              <w:spacing w:line="360" w:lineRule="auto"/>
              <w:ind w:left="0" w:firstLine="0" w:firstLineChars="0"/>
              <w:jc w:val="center"/>
              <w:rPr>
                <w:rFonts w:ascii="Times New Roman" w:hAnsi="Times New Roman" w:eastAsia="宋体"/>
                <w:b/>
                <w:bCs/>
                <w:color w:val="000000" w:themeColor="text1"/>
                <w:szCs w:val="21"/>
                <w:highlight w:val="none"/>
                <w14:textFill>
                  <w14:solidFill>
                    <w14:schemeClr w14:val="tx1"/>
                  </w14:solidFill>
                </w14:textFill>
              </w:rPr>
            </w:pPr>
            <w:r>
              <w:rPr>
                <w:rStyle w:val="26"/>
                <w:rFonts w:ascii="Times New Roman" w:hAnsi="Times New Roman" w:eastAsia="宋体"/>
                <w:color w:val="000000" w:themeColor="text1"/>
                <w:highlight w:val="none"/>
                <w14:textFill>
                  <w14:solidFill>
                    <w14:schemeClr w14:val="tx1"/>
                  </w14:solidFill>
                </w14:textFill>
              </w:rPr>
              <w:t>202</w:t>
            </w:r>
            <w:r>
              <w:rPr>
                <w:rStyle w:val="26"/>
                <w:rFonts w:hint="eastAsia" w:ascii="Times New Roman" w:hAnsi="Times New Roman" w:eastAsia="宋体"/>
                <w:color w:val="000000" w:themeColor="text1"/>
                <w:highlight w:val="none"/>
                <w:lang w:val="en-US" w:eastAsia="zh-CN"/>
                <w14:textFill>
                  <w14:solidFill>
                    <w14:schemeClr w14:val="tx1"/>
                  </w14:solidFill>
                </w14:textFill>
              </w:rPr>
              <w:t>2</w:t>
            </w:r>
            <w:r>
              <w:rPr>
                <w:rStyle w:val="26"/>
                <w:rFonts w:ascii="Times New Roman" w:hAnsi="Times New Roman" w:eastAsia="宋体"/>
                <w:color w:val="000000" w:themeColor="text1"/>
                <w:highlight w:val="none"/>
                <w14:textFill>
                  <w14:solidFill>
                    <w14:schemeClr w14:val="tx1"/>
                  </w14:solidFill>
                </w14:textFill>
              </w:rPr>
              <w:t>年</w:t>
            </w:r>
            <w:r>
              <w:rPr>
                <w:rStyle w:val="26"/>
                <w:rFonts w:hint="eastAsia" w:ascii="Times New Roman" w:hAnsi="Times New Roman" w:eastAsia="宋体"/>
                <w:color w:val="000000" w:themeColor="text1"/>
                <w:highlight w:val="none"/>
                <w:lang w:val="en-US" w:eastAsia="zh-CN"/>
                <w14:textFill>
                  <w14:solidFill>
                    <w14:schemeClr w14:val="tx1"/>
                  </w14:solidFill>
                </w14:textFill>
              </w:rPr>
              <w:t>围场</w:t>
            </w:r>
            <w:r>
              <w:rPr>
                <w:rStyle w:val="26"/>
                <w:rFonts w:hint="eastAsia" w:ascii="Times New Roman" w:hAnsi="Times New Roman" w:eastAsia="宋体"/>
                <w:color w:val="000000" w:themeColor="text1"/>
                <w:highlight w:val="none"/>
                <w14:textFill>
                  <w14:solidFill>
                    <w14:schemeClr w14:val="tx1"/>
                  </w14:solidFill>
                </w14:textFill>
              </w:rPr>
              <w:t>县</w:t>
            </w:r>
            <w:r>
              <w:rPr>
                <w:rFonts w:ascii="Times New Roman" w:hAnsi="Times New Roman" w:eastAsia="宋体"/>
                <w:b/>
                <w:bCs/>
                <w:color w:val="000000" w:themeColor="text1"/>
                <w:szCs w:val="21"/>
                <w:highlight w:val="none"/>
                <w14:textFill>
                  <w14:solidFill>
                    <w14:schemeClr w14:val="tx1"/>
                  </w14:solidFill>
                </w14:textFill>
              </w:rPr>
              <w:t>环境空气质量监测结果表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846"/>
              <w:gridCol w:w="790"/>
              <w:gridCol w:w="666"/>
              <w:gridCol w:w="681"/>
              <w:gridCol w:w="728"/>
              <w:gridCol w:w="805"/>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66"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污染物名称</w:t>
                  </w:r>
                </w:p>
              </w:tc>
              <w:tc>
                <w:tcPr>
                  <w:tcW w:w="503"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PM</w:t>
                  </w:r>
                  <w:r>
                    <w:rPr>
                      <w:rFonts w:ascii="Times New Roman" w:hAnsi="Times New Roman" w:cs="Times New Roman"/>
                      <w:b/>
                      <w:bCs/>
                      <w:color w:val="000000" w:themeColor="text1"/>
                      <w:szCs w:val="21"/>
                      <w:highlight w:val="none"/>
                      <w:vertAlign w:val="subscript"/>
                      <w14:textFill>
                        <w14:solidFill>
                          <w14:schemeClr w14:val="tx1"/>
                        </w14:solidFill>
                      </w14:textFill>
                    </w:rPr>
                    <w:t>2.5</w:t>
                  </w:r>
                </w:p>
              </w:tc>
              <w:tc>
                <w:tcPr>
                  <w:tcW w:w="470"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PM</w:t>
                  </w:r>
                  <w:r>
                    <w:rPr>
                      <w:rFonts w:ascii="Times New Roman" w:hAnsi="Times New Roman" w:cs="Times New Roman"/>
                      <w:b/>
                      <w:bCs/>
                      <w:color w:val="000000" w:themeColor="text1"/>
                      <w:szCs w:val="21"/>
                      <w:highlight w:val="none"/>
                      <w:vertAlign w:val="subscript"/>
                      <w14:textFill>
                        <w14:solidFill>
                          <w14:schemeClr w14:val="tx1"/>
                        </w14:solidFill>
                      </w14:textFill>
                    </w:rPr>
                    <w:t>10</w:t>
                  </w:r>
                </w:p>
              </w:tc>
              <w:tc>
                <w:tcPr>
                  <w:tcW w:w="396"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SO</w:t>
                  </w:r>
                  <w:r>
                    <w:rPr>
                      <w:rFonts w:ascii="Times New Roman" w:hAnsi="Times New Roman" w:cs="Times New Roman"/>
                      <w:b/>
                      <w:bCs/>
                      <w:color w:val="000000" w:themeColor="text1"/>
                      <w:szCs w:val="21"/>
                      <w:highlight w:val="none"/>
                      <w:vertAlign w:val="subscript"/>
                      <w14:textFill>
                        <w14:solidFill>
                          <w14:schemeClr w14:val="tx1"/>
                        </w14:solidFill>
                      </w14:textFill>
                    </w:rPr>
                    <w:t>2</w:t>
                  </w:r>
                </w:p>
              </w:tc>
              <w:tc>
                <w:tcPr>
                  <w:tcW w:w="405"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CO</w:t>
                  </w:r>
                </w:p>
              </w:tc>
              <w:tc>
                <w:tcPr>
                  <w:tcW w:w="433"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O</w:t>
                  </w:r>
                  <w:r>
                    <w:rPr>
                      <w:rFonts w:ascii="Times New Roman" w:hAnsi="Times New Roman" w:cs="Times New Roman"/>
                      <w:b/>
                      <w:bCs/>
                      <w:color w:val="000000" w:themeColor="text1"/>
                      <w:szCs w:val="21"/>
                      <w:highlight w:val="none"/>
                      <w:vertAlign w:val="subscript"/>
                      <w14:textFill>
                        <w14:solidFill>
                          <w14:schemeClr w14:val="tx1"/>
                        </w14:solidFill>
                      </w14:textFill>
                    </w:rPr>
                    <w:t>3</w:t>
                  </w:r>
                </w:p>
              </w:tc>
              <w:tc>
                <w:tcPr>
                  <w:tcW w:w="479"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NO</w:t>
                  </w:r>
                  <w:r>
                    <w:rPr>
                      <w:rFonts w:ascii="Times New Roman" w:hAnsi="Times New Roman" w:cs="Times New Roman"/>
                      <w:b/>
                      <w:bCs/>
                      <w:color w:val="000000" w:themeColor="text1"/>
                      <w:szCs w:val="21"/>
                      <w:highlight w:val="none"/>
                      <w:vertAlign w:val="subscript"/>
                      <w14:textFill>
                        <w14:solidFill>
                          <w14:schemeClr w14:val="tx1"/>
                        </w14:solidFill>
                      </w14:textFill>
                    </w:rPr>
                    <w:t>2</w:t>
                  </w:r>
                </w:p>
              </w:tc>
              <w:tc>
                <w:tcPr>
                  <w:tcW w:w="1445"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环境空气质量综合指数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66"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年均值</w:t>
                  </w:r>
                </w:p>
              </w:tc>
              <w:tc>
                <w:tcPr>
                  <w:tcW w:w="503"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18</w:t>
                  </w:r>
                </w:p>
              </w:tc>
              <w:tc>
                <w:tcPr>
                  <w:tcW w:w="470"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42</w:t>
                  </w:r>
                </w:p>
              </w:tc>
              <w:tc>
                <w:tcPr>
                  <w:tcW w:w="396"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w:t>
                  </w:r>
                </w:p>
              </w:tc>
              <w:tc>
                <w:tcPr>
                  <w:tcW w:w="405"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0.8</w:t>
                  </w:r>
                </w:p>
              </w:tc>
              <w:tc>
                <w:tcPr>
                  <w:tcW w:w="433"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131</w:t>
                  </w:r>
                </w:p>
              </w:tc>
              <w:tc>
                <w:tcPr>
                  <w:tcW w:w="479"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17</w:t>
                  </w:r>
                </w:p>
              </w:tc>
              <w:tc>
                <w:tcPr>
                  <w:tcW w:w="1445"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66"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标准（二级）</w:t>
                  </w:r>
                </w:p>
              </w:tc>
              <w:tc>
                <w:tcPr>
                  <w:tcW w:w="503"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35</w:t>
                  </w:r>
                </w:p>
              </w:tc>
              <w:tc>
                <w:tcPr>
                  <w:tcW w:w="470"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70</w:t>
                  </w:r>
                </w:p>
              </w:tc>
              <w:tc>
                <w:tcPr>
                  <w:tcW w:w="396"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60</w:t>
                  </w:r>
                </w:p>
              </w:tc>
              <w:tc>
                <w:tcPr>
                  <w:tcW w:w="405"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4.0</w:t>
                  </w:r>
                </w:p>
              </w:tc>
              <w:tc>
                <w:tcPr>
                  <w:tcW w:w="433"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160</w:t>
                  </w:r>
                </w:p>
              </w:tc>
              <w:tc>
                <w:tcPr>
                  <w:tcW w:w="479"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40</w:t>
                  </w:r>
                </w:p>
              </w:tc>
              <w:tc>
                <w:tcPr>
                  <w:tcW w:w="1445"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w:t>
                  </w:r>
                </w:p>
              </w:tc>
            </w:tr>
          </w:tbl>
          <w:p>
            <w:pPr>
              <w:autoSpaceDE w:val="0"/>
              <w:autoSpaceDN w:val="0"/>
              <w:adjustRightInd w:val="0"/>
              <w:snapToGrid w:val="0"/>
              <w:spacing w:line="360" w:lineRule="auto"/>
              <w:rPr>
                <w:rFonts w:ascii="Times New Roman" w:hAnsi="Times New Roman" w:cs="Times New Roman"/>
                <w:b/>
                <w:color w:val="000000" w:themeColor="text1"/>
                <w:sz w:val="18"/>
                <w:szCs w:val="18"/>
                <w:highlight w:val="none"/>
                <w14:textFill>
                  <w14:solidFill>
                    <w14:schemeClr w14:val="tx1"/>
                  </w14:solidFill>
                </w14:textFill>
              </w:rPr>
            </w:pPr>
            <w:r>
              <w:rPr>
                <w:rFonts w:ascii="Times New Roman" w:hAnsi="Times New Roman" w:cs="Times New Roman"/>
                <w:b/>
                <w:color w:val="000000" w:themeColor="text1"/>
                <w:sz w:val="18"/>
                <w:szCs w:val="18"/>
                <w:highlight w:val="none"/>
                <w14:textFill>
                  <w14:solidFill>
                    <w14:schemeClr w14:val="tx1"/>
                  </w14:solidFill>
                </w14:textFill>
              </w:rPr>
              <w:t>注：1.CO的浓度单位是mg/m</w:t>
            </w:r>
            <w:r>
              <w:rPr>
                <w:rFonts w:ascii="Times New Roman" w:hAnsi="Times New Roman" w:cs="Times New Roman"/>
                <w:b/>
                <w:color w:val="000000" w:themeColor="text1"/>
                <w:sz w:val="18"/>
                <w:szCs w:val="18"/>
                <w:highlight w:val="none"/>
                <w:vertAlign w:val="superscript"/>
                <w14:textFill>
                  <w14:solidFill>
                    <w14:schemeClr w14:val="tx1"/>
                  </w14:solidFill>
                </w14:textFill>
              </w:rPr>
              <w:t>3</w:t>
            </w:r>
            <w:r>
              <w:rPr>
                <w:rFonts w:ascii="Times New Roman" w:hAnsi="Times New Roman" w:cs="Times New Roman"/>
                <w:b/>
                <w:color w:val="000000" w:themeColor="text1"/>
                <w:sz w:val="18"/>
                <w:szCs w:val="18"/>
                <w:highlight w:val="none"/>
                <w14:textFill>
                  <w14:solidFill>
                    <w14:schemeClr w14:val="tx1"/>
                  </w14:solidFill>
                </w14:textFill>
              </w:rPr>
              <w:t>，PM</w:t>
            </w:r>
            <w:r>
              <w:rPr>
                <w:rFonts w:ascii="Times New Roman" w:hAnsi="Times New Roman" w:cs="Times New Roman"/>
                <w:b/>
                <w:color w:val="000000" w:themeColor="text1"/>
                <w:sz w:val="18"/>
                <w:szCs w:val="18"/>
                <w:highlight w:val="none"/>
                <w:vertAlign w:val="subscript"/>
                <w14:textFill>
                  <w14:solidFill>
                    <w14:schemeClr w14:val="tx1"/>
                  </w14:solidFill>
                </w14:textFill>
              </w:rPr>
              <w:t>2.5</w:t>
            </w:r>
            <w:r>
              <w:rPr>
                <w:rFonts w:ascii="Times New Roman" w:hAnsi="Times New Roman" w:cs="Times New Roman"/>
                <w:b/>
                <w:color w:val="000000" w:themeColor="text1"/>
                <w:sz w:val="18"/>
                <w:szCs w:val="18"/>
                <w:highlight w:val="none"/>
                <w14:textFill>
                  <w14:solidFill>
                    <w14:schemeClr w14:val="tx1"/>
                  </w14:solidFill>
                </w14:textFill>
              </w:rPr>
              <w:t>、PM</w:t>
            </w:r>
            <w:r>
              <w:rPr>
                <w:rFonts w:ascii="Times New Roman" w:hAnsi="Times New Roman" w:cs="Times New Roman"/>
                <w:b/>
                <w:color w:val="000000" w:themeColor="text1"/>
                <w:sz w:val="18"/>
                <w:szCs w:val="18"/>
                <w:highlight w:val="none"/>
                <w:vertAlign w:val="subscript"/>
                <w14:textFill>
                  <w14:solidFill>
                    <w14:schemeClr w14:val="tx1"/>
                  </w14:solidFill>
                </w14:textFill>
              </w:rPr>
              <w:t>10</w:t>
            </w:r>
            <w:r>
              <w:rPr>
                <w:rFonts w:ascii="Times New Roman" w:hAnsi="Times New Roman" w:cs="Times New Roman"/>
                <w:b/>
                <w:color w:val="000000" w:themeColor="text1"/>
                <w:sz w:val="18"/>
                <w:szCs w:val="18"/>
                <w:highlight w:val="none"/>
                <w14:textFill>
                  <w14:solidFill>
                    <w14:schemeClr w14:val="tx1"/>
                  </w14:solidFill>
                </w14:textFill>
              </w:rPr>
              <w:t>、NO</w:t>
            </w:r>
            <w:r>
              <w:rPr>
                <w:rFonts w:ascii="Times New Roman" w:hAnsi="Times New Roman" w:cs="Times New Roman"/>
                <w:b/>
                <w:color w:val="000000" w:themeColor="text1"/>
                <w:sz w:val="18"/>
                <w:szCs w:val="18"/>
                <w:highlight w:val="none"/>
                <w:vertAlign w:val="subscript"/>
                <w14:textFill>
                  <w14:solidFill>
                    <w14:schemeClr w14:val="tx1"/>
                  </w14:solidFill>
                </w14:textFill>
              </w:rPr>
              <w:t>2</w:t>
            </w:r>
            <w:r>
              <w:rPr>
                <w:rFonts w:ascii="Times New Roman" w:hAnsi="Times New Roman" w:cs="Times New Roman"/>
                <w:b/>
                <w:color w:val="000000" w:themeColor="text1"/>
                <w:sz w:val="18"/>
                <w:szCs w:val="18"/>
                <w:highlight w:val="none"/>
                <w14:textFill>
                  <w14:solidFill>
                    <w14:schemeClr w14:val="tx1"/>
                  </w14:solidFill>
                </w14:textFill>
              </w:rPr>
              <w:t>、SO</w:t>
            </w:r>
            <w:r>
              <w:rPr>
                <w:rFonts w:ascii="Times New Roman" w:hAnsi="Times New Roman" w:cs="Times New Roman"/>
                <w:b/>
                <w:color w:val="000000" w:themeColor="text1"/>
                <w:sz w:val="18"/>
                <w:szCs w:val="18"/>
                <w:highlight w:val="none"/>
                <w:vertAlign w:val="subscript"/>
                <w14:textFill>
                  <w14:solidFill>
                    <w14:schemeClr w14:val="tx1"/>
                  </w14:solidFill>
                </w14:textFill>
              </w:rPr>
              <w:t>2</w:t>
            </w:r>
            <w:r>
              <w:rPr>
                <w:rFonts w:ascii="Times New Roman" w:hAnsi="Times New Roman" w:cs="Times New Roman"/>
                <w:b/>
                <w:color w:val="000000" w:themeColor="text1"/>
                <w:sz w:val="18"/>
                <w:szCs w:val="18"/>
                <w:highlight w:val="none"/>
                <w14:textFill>
                  <w14:solidFill>
                    <w14:schemeClr w14:val="tx1"/>
                  </w14:solidFill>
                </w14:textFill>
              </w:rPr>
              <w:t>、O</w:t>
            </w:r>
            <w:r>
              <w:rPr>
                <w:rFonts w:ascii="Times New Roman" w:hAnsi="Times New Roman" w:cs="Times New Roman"/>
                <w:b/>
                <w:color w:val="000000" w:themeColor="text1"/>
                <w:sz w:val="18"/>
                <w:szCs w:val="18"/>
                <w:highlight w:val="none"/>
                <w:vertAlign w:val="subscript"/>
                <w14:textFill>
                  <w14:solidFill>
                    <w14:schemeClr w14:val="tx1"/>
                  </w14:solidFill>
                </w14:textFill>
              </w:rPr>
              <w:t>3</w:t>
            </w:r>
            <w:r>
              <w:rPr>
                <w:rFonts w:ascii="Times New Roman" w:hAnsi="Times New Roman" w:cs="Times New Roman"/>
                <w:b/>
                <w:color w:val="000000" w:themeColor="text1"/>
                <w:sz w:val="18"/>
                <w:szCs w:val="18"/>
                <w:highlight w:val="none"/>
                <w14:textFill>
                  <w14:solidFill>
                    <w14:schemeClr w14:val="tx1"/>
                  </w14:solidFill>
                </w14:textFill>
              </w:rPr>
              <w:t>的浓度单位是μg/m</w:t>
            </w:r>
            <w:r>
              <w:rPr>
                <w:rFonts w:ascii="Times New Roman" w:hAnsi="Times New Roman" w:cs="Times New Roman"/>
                <w:b/>
                <w:color w:val="000000" w:themeColor="text1"/>
                <w:sz w:val="18"/>
                <w:szCs w:val="18"/>
                <w:highlight w:val="none"/>
                <w:vertAlign w:val="superscript"/>
                <w14:textFill>
                  <w14:solidFill>
                    <w14:schemeClr w14:val="tx1"/>
                  </w14:solidFill>
                </w14:textFill>
              </w:rPr>
              <w:t>3</w:t>
            </w:r>
            <w:r>
              <w:rPr>
                <w:rFonts w:ascii="Times New Roman" w:hAnsi="Times New Roman" w:cs="Times New Roman"/>
                <w:b/>
                <w:color w:val="000000" w:themeColor="text1"/>
                <w:sz w:val="18"/>
                <w:szCs w:val="18"/>
                <w:highlight w:val="none"/>
                <w14:textFill>
                  <w14:solidFill>
                    <w14:schemeClr w14:val="tx1"/>
                  </w14:solidFill>
                </w14:textFill>
              </w:rPr>
              <w:t>；2.CO为24小时平均第95百分位数，O</w:t>
            </w:r>
            <w:r>
              <w:rPr>
                <w:rFonts w:ascii="Times New Roman" w:hAnsi="Times New Roman" w:cs="Times New Roman"/>
                <w:b/>
                <w:color w:val="000000" w:themeColor="text1"/>
                <w:sz w:val="18"/>
                <w:szCs w:val="18"/>
                <w:highlight w:val="none"/>
                <w:vertAlign w:val="subscript"/>
                <w14:textFill>
                  <w14:solidFill>
                    <w14:schemeClr w14:val="tx1"/>
                  </w14:solidFill>
                </w14:textFill>
              </w:rPr>
              <w:t>3</w:t>
            </w:r>
            <w:r>
              <w:rPr>
                <w:rFonts w:ascii="Times New Roman" w:hAnsi="Times New Roman" w:cs="Times New Roman"/>
                <w:b/>
                <w:color w:val="000000" w:themeColor="text1"/>
                <w:sz w:val="18"/>
                <w:szCs w:val="18"/>
                <w:highlight w:val="none"/>
                <w14:textFill>
                  <w14:solidFill>
                    <w14:schemeClr w14:val="tx1"/>
                  </w14:solidFill>
                </w14:textFill>
              </w:rPr>
              <w:t>为日最大8小时平均第90百分位数。</w:t>
            </w:r>
          </w:p>
          <w:p>
            <w:pPr>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区域环境空气质量现状评价表见下表：</w:t>
            </w:r>
          </w:p>
          <w:p>
            <w:pPr>
              <w:pStyle w:val="47"/>
              <w:numPr>
                <w:ilvl w:val="0"/>
                <w:numId w:val="8"/>
              </w:numPr>
              <w:autoSpaceDE w:val="0"/>
              <w:autoSpaceDN w:val="0"/>
              <w:adjustRightInd w:val="0"/>
              <w:spacing w:line="360" w:lineRule="auto"/>
              <w:ind w:left="0" w:firstLine="0" w:firstLineChars="0"/>
              <w:jc w:val="center"/>
              <w:rPr>
                <w:rStyle w:val="26"/>
                <w:rFonts w:ascii="Times New Roman" w:hAnsi="Times New Roman" w:eastAsia="宋体"/>
                <w:color w:val="000000" w:themeColor="text1"/>
                <w:highlight w:val="none"/>
                <w14:textFill>
                  <w14:solidFill>
                    <w14:schemeClr w14:val="tx1"/>
                  </w14:solidFill>
                </w14:textFill>
              </w:rPr>
            </w:pPr>
            <w:r>
              <w:rPr>
                <w:rStyle w:val="26"/>
                <w:rFonts w:ascii="Times New Roman" w:hAnsi="Times New Roman" w:eastAsia="宋体"/>
                <w:color w:val="000000" w:themeColor="text1"/>
                <w:highlight w:val="none"/>
                <w14:textFill>
                  <w14:solidFill>
                    <w14:schemeClr w14:val="tx1"/>
                  </w14:solidFill>
                </w14:textFill>
              </w:rPr>
              <w:t>20</w:t>
            </w:r>
            <w:r>
              <w:rPr>
                <w:rStyle w:val="26"/>
                <w:rFonts w:hint="eastAsia" w:ascii="Times New Roman" w:hAnsi="Times New Roman" w:eastAsia="宋体"/>
                <w:color w:val="000000" w:themeColor="text1"/>
                <w:highlight w:val="none"/>
                <w14:textFill>
                  <w14:solidFill>
                    <w14:schemeClr w14:val="tx1"/>
                  </w14:solidFill>
                </w14:textFill>
              </w:rPr>
              <w:t>2</w:t>
            </w:r>
            <w:r>
              <w:rPr>
                <w:rStyle w:val="26"/>
                <w:rFonts w:hint="eastAsia" w:ascii="Times New Roman" w:hAnsi="Times New Roman" w:eastAsia="宋体"/>
                <w:color w:val="000000" w:themeColor="text1"/>
                <w:highlight w:val="none"/>
                <w:lang w:val="en-US" w:eastAsia="zh-CN"/>
                <w14:textFill>
                  <w14:solidFill>
                    <w14:schemeClr w14:val="tx1"/>
                  </w14:solidFill>
                </w14:textFill>
              </w:rPr>
              <w:t>2</w:t>
            </w:r>
            <w:r>
              <w:rPr>
                <w:rStyle w:val="26"/>
                <w:rFonts w:ascii="Times New Roman" w:hAnsi="Times New Roman" w:eastAsia="宋体"/>
                <w:color w:val="000000" w:themeColor="text1"/>
                <w:highlight w:val="none"/>
                <w14:textFill>
                  <w14:solidFill>
                    <w14:schemeClr w14:val="tx1"/>
                  </w14:solidFill>
                </w14:textFill>
              </w:rPr>
              <w:t>年</w:t>
            </w:r>
            <w:r>
              <w:rPr>
                <w:rStyle w:val="26"/>
                <w:rFonts w:hint="eastAsia" w:ascii="Times New Roman" w:hAnsi="Times New Roman" w:eastAsia="宋体"/>
                <w:color w:val="000000" w:themeColor="text1"/>
                <w:highlight w:val="none"/>
                <w14:textFill>
                  <w14:solidFill>
                    <w14:schemeClr w14:val="tx1"/>
                  </w14:solidFill>
                </w14:textFill>
              </w:rPr>
              <w:t>区域</w:t>
            </w:r>
            <w:r>
              <w:rPr>
                <w:rStyle w:val="26"/>
                <w:rFonts w:ascii="Times New Roman" w:hAnsi="Times New Roman" w:eastAsia="宋体"/>
                <w:color w:val="000000" w:themeColor="text1"/>
                <w:highlight w:val="none"/>
                <w14:textFill>
                  <w14:solidFill>
                    <w14:schemeClr w14:val="tx1"/>
                  </w14:solidFill>
                </w14:textFill>
              </w:rPr>
              <w:t>环境空气质量现状评价表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0"/>
              <w:gridCol w:w="986"/>
              <w:gridCol w:w="986"/>
              <w:gridCol w:w="986"/>
              <w:gridCol w:w="986"/>
              <w:gridCol w:w="987"/>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环境空气质量综合指数</w:t>
                  </w:r>
                </w:p>
              </w:tc>
              <w:tc>
                <w:tcPr>
                  <w:tcW w:w="587"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PM</w:t>
                  </w:r>
                  <w:r>
                    <w:rPr>
                      <w:rFonts w:ascii="Times New Roman" w:hAnsi="Times New Roman" w:cs="Times New Roman"/>
                      <w:b/>
                      <w:bCs/>
                      <w:color w:val="000000" w:themeColor="text1"/>
                      <w:szCs w:val="21"/>
                      <w:highlight w:val="none"/>
                      <w:vertAlign w:val="subscript"/>
                      <w14:textFill>
                        <w14:solidFill>
                          <w14:schemeClr w14:val="tx1"/>
                        </w14:solidFill>
                      </w14:textFill>
                    </w:rPr>
                    <w:t>2.5</w:t>
                  </w:r>
                </w:p>
              </w:tc>
              <w:tc>
                <w:tcPr>
                  <w:tcW w:w="587"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PM</w:t>
                  </w:r>
                  <w:r>
                    <w:rPr>
                      <w:rFonts w:ascii="Times New Roman" w:hAnsi="Times New Roman" w:cs="Times New Roman"/>
                      <w:b/>
                      <w:bCs/>
                      <w:color w:val="000000" w:themeColor="text1"/>
                      <w:szCs w:val="21"/>
                      <w:highlight w:val="none"/>
                      <w:vertAlign w:val="subscript"/>
                      <w14:textFill>
                        <w14:solidFill>
                          <w14:schemeClr w14:val="tx1"/>
                        </w14:solidFill>
                      </w14:textFill>
                    </w:rPr>
                    <w:t>10</w:t>
                  </w:r>
                </w:p>
              </w:tc>
              <w:tc>
                <w:tcPr>
                  <w:tcW w:w="587"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SO</w:t>
                  </w:r>
                  <w:r>
                    <w:rPr>
                      <w:rFonts w:ascii="Times New Roman" w:hAnsi="Times New Roman" w:cs="Times New Roman"/>
                      <w:b/>
                      <w:bCs/>
                      <w:color w:val="000000" w:themeColor="text1"/>
                      <w:szCs w:val="21"/>
                      <w:highlight w:val="none"/>
                      <w:vertAlign w:val="subscript"/>
                      <w14:textFill>
                        <w14:solidFill>
                          <w14:schemeClr w14:val="tx1"/>
                        </w14:solidFill>
                      </w14:textFill>
                    </w:rPr>
                    <w:t>2</w:t>
                  </w:r>
                </w:p>
              </w:tc>
              <w:tc>
                <w:tcPr>
                  <w:tcW w:w="587"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CO</w:t>
                  </w:r>
                </w:p>
              </w:tc>
              <w:tc>
                <w:tcPr>
                  <w:tcW w:w="587"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O</w:t>
                  </w:r>
                  <w:r>
                    <w:rPr>
                      <w:rFonts w:ascii="Times New Roman" w:hAnsi="Times New Roman" w:cs="Times New Roman"/>
                      <w:b/>
                      <w:bCs/>
                      <w:color w:val="000000" w:themeColor="text1"/>
                      <w:szCs w:val="21"/>
                      <w:highlight w:val="none"/>
                      <w:vertAlign w:val="subscript"/>
                      <w14:textFill>
                        <w14:solidFill>
                          <w14:schemeClr w14:val="tx1"/>
                        </w14:solidFill>
                      </w14:textFill>
                    </w:rPr>
                    <w:t>3</w:t>
                  </w:r>
                </w:p>
              </w:tc>
              <w:tc>
                <w:tcPr>
                  <w:tcW w:w="588"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NO</w:t>
                  </w:r>
                  <w:r>
                    <w:rPr>
                      <w:rFonts w:ascii="Times New Roman" w:hAnsi="Times New Roman" w:cs="Times New Roman"/>
                      <w:b/>
                      <w:bCs/>
                      <w:color w:val="000000" w:themeColor="text1"/>
                      <w:szCs w:val="21"/>
                      <w:highlight w:val="none"/>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pct"/>
                  <w:vAlign w:val="center"/>
                </w:tcPr>
                <w:p>
                  <w:pPr>
                    <w:jc w:val="center"/>
                    <w:rPr>
                      <w:rFonts w:ascii="Times New Roman" w:hAnsi="Times New Roman"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现状浓度</w:t>
                  </w:r>
                </w:p>
              </w:tc>
              <w:tc>
                <w:tcPr>
                  <w:tcW w:w="987" w:type="dxa"/>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18</w:t>
                  </w:r>
                </w:p>
              </w:tc>
              <w:tc>
                <w:tcPr>
                  <w:tcW w:w="986" w:type="dxa"/>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42</w:t>
                  </w:r>
                </w:p>
              </w:tc>
              <w:tc>
                <w:tcPr>
                  <w:tcW w:w="986" w:type="dxa"/>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w:t>
                  </w:r>
                </w:p>
              </w:tc>
              <w:tc>
                <w:tcPr>
                  <w:tcW w:w="986" w:type="dxa"/>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0.8</w:t>
                  </w:r>
                </w:p>
              </w:tc>
              <w:tc>
                <w:tcPr>
                  <w:tcW w:w="986" w:type="dxa"/>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131</w:t>
                  </w:r>
                </w:p>
              </w:tc>
              <w:tc>
                <w:tcPr>
                  <w:tcW w:w="988" w:type="dxa"/>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pct"/>
                  <w:vAlign w:val="center"/>
                </w:tcPr>
                <w:p>
                  <w:pPr>
                    <w:jc w:val="center"/>
                    <w:rPr>
                      <w:rFonts w:ascii="Times New Roman" w:hAnsi="Times New Roman"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标准值</w:t>
                  </w:r>
                </w:p>
              </w:tc>
              <w:tc>
                <w:tcPr>
                  <w:tcW w:w="587" w:type="pct"/>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35</w:t>
                  </w:r>
                </w:p>
              </w:tc>
              <w:tc>
                <w:tcPr>
                  <w:tcW w:w="587" w:type="pct"/>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70</w:t>
                  </w:r>
                </w:p>
              </w:tc>
              <w:tc>
                <w:tcPr>
                  <w:tcW w:w="587" w:type="pct"/>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60</w:t>
                  </w:r>
                </w:p>
              </w:tc>
              <w:tc>
                <w:tcPr>
                  <w:tcW w:w="587" w:type="pct"/>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4.0</w:t>
                  </w:r>
                </w:p>
              </w:tc>
              <w:tc>
                <w:tcPr>
                  <w:tcW w:w="587" w:type="pct"/>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160</w:t>
                  </w:r>
                </w:p>
              </w:tc>
              <w:tc>
                <w:tcPr>
                  <w:tcW w:w="588" w:type="pct"/>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pct"/>
                  <w:vAlign w:val="center"/>
                </w:tcPr>
                <w:p>
                  <w:pPr>
                    <w:jc w:val="center"/>
                    <w:rPr>
                      <w:rFonts w:ascii="Times New Roman" w:hAnsi="Times New Roman"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占标率%</w:t>
                  </w:r>
                </w:p>
              </w:tc>
              <w:tc>
                <w:tcPr>
                  <w:tcW w:w="587" w:type="pct"/>
                  <w:vAlign w:val="center"/>
                </w:tcPr>
                <w:p>
                  <w:pPr>
                    <w:widowControl/>
                    <w:jc w:val="center"/>
                    <w:textAlignment w:val="cente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0"/>
                      <w:szCs w:val="21"/>
                      <w:highlight w:val="none"/>
                      <w:lang w:val="en-US" w:eastAsia="zh-CN"/>
                      <w14:textFill>
                        <w14:solidFill>
                          <w14:schemeClr w14:val="tx1"/>
                        </w14:solidFill>
                      </w14:textFill>
                    </w:rPr>
                    <w:t>51.4</w:t>
                  </w:r>
                </w:p>
              </w:tc>
              <w:tc>
                <w:tcPr>
                  <w:tcW w:w="587" w:type="pct"/>
                  <w:vAlign w:val="center"/>
                </w:tcPr>
                <w:p>
                  <w:pPr>
                    <w:widowControl/>
                    <w:jc w:val="center"/>
                    <w:textAlignment w:val="cente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0"/>
                      <w:szCs w:val="21"/>
                      <w:highlight w:val="none"/>
                      <w:lang w:val="en-US" w:eastAsia="zh-CN"/>
                      <w14:textFill>
                        <w14:solidFill>
                          <w14:schemeClr w14:val="tx1"/>
                        </w14:solidFill>
                      </w14:textFill>
                    </w:rPr>
                    <w:t>60</w:t>
                  </w:r>
                </w:p>
              </w:tc>
              <w:tc>
                <w:tcPr>
                  <w:tcW w:w="587" w:type="pct"/>
                  <w:vAlign w:val="center"/>
                </w:tcPr>
                <w:p>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15</w:t>
                  </w:r>
                </w:p>
              </w:tc>
              <w:tc>
                <w:tcPr>
                  <w:tcW w:w="587" w:type="pct"/>
                  <w:vAlign w:val="center"/>
                </w:tcPr>
                <w:p>
                  <w:pPr>
                    <w:widowControl/>
                    <w:jc w:val="center"/>
                    <w:textAlignment w:val="cente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0"/>
                      <w:szCs w:val="21"/>
                      <w:highlight w:val="none"/>
                      <w:lang w:val="en-US" w:eastAsia="zh-CN"/>
                      <w14:textFill>
                        <w14:solidFill>
                          <w14:schemeClr w14:val="tx1"/>
                        </w14:solidFill>
                      </w14:textFill>
                    </w:rPr>
                    <w:t>20</w:t>
                  </w:r>
                </w:p>
              </w:tc>
              <w:tc>
                <w:tcPr>
                  <w:tcW w:w="587" w:type="pct"/>
                  <w:vAlign w:val="center"/>
                </w:tcPr>
                <w:p>
                  <w:pPr>
                    <w:widowControl/>
                    <w:jc w:val="center"/>
                    <w:textAlignment w:val="cente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0"/>
                      <w:szCs w:val="21"/>
                      <w:highlight w:val="none"/>
                      <w:lang w:val="en-US" w:eastAsia="zh-CN"/>
                      <w14:textFill>
                        <w14:solidFill>
                          <w14:schemeClr w14:val="tx1"/>
                        </w14:solidFill>
                      </w14:textFill>
                    </w:rPr>
                    <w:t>81.9</w:t>
                  </w:r>
                </w:p>
              </w:tc>
              <w:tc>
                <w:tcPr>
                  <w:tcW w:w="588" w:type="pct"/>
                  <w:vAlign w:val="center"/>
                </w:tcPr>
                <w:p>
                  <w:pPr>
                    <w:widowControl/>
                    <w:jc w:val="center"/>
                    <w:textAlignment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pct"/>
                  <w:vAlign w:val="center"/>
                </w:tcPr>
                <w:p>
                  <w:pPr>
                    <w:jc w:val="center"/>
                    <w:rPr>
                      <w:rFonts w:ascii="Times New Roman" w:hAnsi="Times New Roman"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达标情况</w:t>
                  </w:r>
                </w:p>
              </w:tc>
              <w:tc>
                <w:tcPr>
                  <w:tcW w:w="587" w:type="pct"/>
                  <w:vAlign w:val="center"/>
                </w:tcPr>
                <w:p>
                  <w:pPr>
                    <w:widowControl/>
                    <w:jc w:val="center"/>
                    <w:rPr>
                      <w:rFonts w:ascii="Times New Roman" w:hAnsi="Times New Roman" w:cs="Times New Roman"/>
                      <w:bCs/>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达标</w:t>
                  </w:r>
                </w:p>
              </w:tc>
              <w:tc>
                <w:tcPr>
                  <w:tcW w:w="587" w:type="pct"/>
                  <w:vAlign w:val="center"/>
                </w:tcPr>
                <w:p>
                  <w:pPr>
                    <w:widowControl/>
                    <w:jc w:val="center"/>
                    <w:rPr>
                      <w:rFonts w:ascii="Times New Roman" w:hAnsi="Times New Roman" w:cs="Times New Roman"/>
                      <w:bCs/>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达标</w:t>
                  </w:r>
                </w:p>
              </w:tc>
              <w:tc>
                <w:tcPr>
                  <w:tcW w:w="587" w:type="pct"/>
                  <w:vAlign w:val="center"/>
                </w:tcPr>
                <w:p>
                  <w:pPr>
                    <w:widowControl/>
                    <w:jc w:val="center"/>
                    <w:rPr>
                      <w:rFonts w:ascii="Times New Roman" w:hAnsi="Times New Roman"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达标</w:t>
                  </w:r>
                </w:p>
              </w:tc>
              <w:tc>
                <w:tcPr>
                  <w:tcW w:w="587" w:type="pct"/>
                  <w:vAlign w:val="center"/>
                </w:tcPr>
                <w:p>
                  <w:pPr>
                    <w:widowControl/>
                    <w:jc w:val="center"/>
                    <w:rPr>
                      <w:rFonts w:ascii="Times New Roman" w:hAnsi="Times New Roman" w:cs="Times New Roman"/>
                      <w:bCs/>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达标</w:t>
                  </w:r>
                </w:p>
              </w:tc>
              <w:tc>
                <w:tcPr>
                  <w:tcW w:w="587" w:type="pct"/>
                  <w:vAlign w:val="center"/>
                </w:tcPr>
                <w:p>
                  <w:pPr>
                    <w:widowControl/>
                    <w:jc w:val="center"/>
                    <w:rPr>
                      <w:rFonts w:ascii="Times New Roman" w:hAnsi="Times New Roman" w:cs="Times New Roman"/>
                      <w:bCs/>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达标</w:t>
                  </w:r>
                </w:p>
              </w:tc>
              <w:tc>
                <w:tcPr>
                  <w:tcW w:w="588" w:type="pct"/>
                  <w:vAlign w:val="center"/>
                </w:tcPr>
                <w:p>
                  <w:pPr>
                    <w:widowControl/>
                    <w:jc w:val="center"/>
                    <w:rPr>
                      <w:rFonts w:ascii="Times New Roman" w:hAnsi="Times New Roman"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达标</w:t>
                  </w:r>
                </w:p>
              </w:tc>
            </w:tr>
          </w:tbl>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由上表可知，20</w:t>
            </w:r>
            <w:r>
              <w:rPr>
                <w:rFonts w:hint="eastAsia" w:ascii="Times New Roman" w:hAnsi="Times New Roman" w:eastAsia="宋体" w:cs="Times New Roman"/>
                <w:color w:val="000000" w:themeColor="text1"/>
                <w:sz w:val="24"/>
                <w:highlight w:val="none"/>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ascii="Times New Roman" w:hAnsi="Times New Roman" w:eastAsia="宋体" w:cs="Times New Roman"/>
                <w:color w:val="000000" w:themeColor="text1"/>
                <w:sz w:val="24"/>
                <w:highlight w:val="none"/>
                <w14:textFill>
                  <w14:solidFill>
                    <w14:schemeClr w14:val="tx1"/>
                  </w14:solidFill>
                </w14:textFill>
              </w:rPr>
              <w:t>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围场</w:t>
            </w:r>
            <w:r>
              <w:rPr>
                <w:rFonts w:hint="eastAsia" w:ascii="Times New Roman" w:hAnsi="Times New Roman" w:eastAsia="宋体" w:cs="Times New Roman"/>
                <w:color w:val="000000" w:themeColor="text1"/>
                <w:sz w:val="24"/>
                <w:highlight w:val="none"/>
                <w14:textFill>
                  <w14:solidFill>
                    <w14:schemeClr w14:val="tx1"/>
                  </w14:solidFill>
                </w14:textFill>
              </w:rPr>
              <w:t>县PM</w:t>
            </w:r>
            <w:r>
              <w:rPr>
                <w:rFonts w:hint="eastAsia" w:ascii="Times New Roman" w:hAnsi="Times New Roman" w:eastAsia="宋体" w:cs="Times New Roman"/>
                <w:color w:val="000000" w:themeColor="text1"/>
                <w:sz w:val="24"/>
                <w:highlight w:val="none"/>
                <w:vertAlign w:val="subscript"/>
                <w14:textFill>
                  <w14:solidFill>
                    <w14:schemeClr w14:val="tx1"/>
                  </w14:solidFill>
                </w14:textFill>
              </w:rPr>
              <w:t>2.5</w:t>
            </w:r>
            <w:r>
              <w:rPr>
                <w:rFonts w:hint="eastAsia" w:ascii="Times New Roman" w:hAnsi="Times New Roman" w:eastAsia="宋体" w:cs="Times New Roman"/>
                <w:color w:val="000000" w:themeColor="text1"/>
                <w:sz w:val="24"/>
                <w:highlight w:val="none"/>
                <w14:textFill>
                  <w14:solidFill>
                    <w14:schemeClr w14:val="tx1"/>
                  </w14:solidFill>
                </w14:textFill>
              </w:rPr>
              <w:t>、PM</w:t>
            </w:r>
            <w:r>
              <w:rPr>
                <w:rFonts w:hint="eastAsia" w:ascii="Times New Roman" w:hAnsi="Times New Roman" w:eastAsia="宋体" w:cs="Times New Roman"/>
                <w:color w:val="000000" w:themeColor="text1"/>
                <w:sz w:val="24"/>
                <w:highlight w:val="none"/>
                <w:vertAlign w:val="subscript"/>
                <w14:textFill>
                  <w14:solidFill>
                    <w14:schemeClr w14:val="tx1"/>
                  </w14:solidFill>
                </w14:textFill>
              </w:rPr>
              <w:t>10</w:t>
            </w:r>
            <w:r>
              <w:rPr>
                <w:rFonts w:hint="eastAsia" w:ascii="Times New Roman" w:hAnsi="Times New Roman" w:eastAsia="宋体" w:cs="Times New Roman"/>
                <w:color w:val="000000" w:themeColor="text1"/>
                <w:sz w:val="24"/>
                <w:highlight w:val="none"/>
                <w14:textFill>
                  <w14:solidFill>
                    <w14:schemeClr w14:val="tx1"/>
                  </w14:solidFill>
                </w14:textFill>
              </w:rPr>
              <w:t>、NO</w:t>
            </w:r>
            <w:r>
              <w:rPr>
                <w:rFonts w:hint="eastAsia" w:ascii="Times New Roman" w:hAnsi="Times New Roman" w:eastAsia="宋体" w:cs="Times New Roman"/>
                <w:color w:val="000000" w:themeColor="text1"/>
                <w:sz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highlight w:val="none"/>
                <w14:textFill>
                  <w14:solidFill>
                    <w14:schemeClr w14:val="tx1"/>
                  </w14:solidFill>
                </w14:textFill>
              </w:rPr>
              <w:t>、SO</w:t>
            </w:r>
            <w:r>
              <w:rPr>
                <w:rFonts w:hint="eastAsia" w:ascii="Times New Roman" w:hAnsi="Times New Roman" w:eastAsia="宋体" w:cs="Times New Roman"/>
                <w:color w:val="000000" w:themeColor="text1"/>
                <w:sz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、CO、</w:t>
            </w:r>
            <w:r>
              <w:rPr>
                <w:rFonts w:hint="eastAsia" w:ascii="Times New Roman" w:hAnsi="Times New Roman" w:eastAsia="宋体" w:cs="Times New Roman"/>
                <w:color w:val="000000" w:themeColor="text1"/>
                <w:sz w:val="24"/>
                <w:highlight w:val="none"/>
                <w14:textFill>
                  <w14:solidFill>
                    <w14:schemeClr w14:val="tx1"/>
                  </w14:solidFill>
                </w14:textFill>
              </w:rPr>
              <w:t>O</w:t>
            </w:r>
            <w:r>
              <w:rPr>
                <w:rFonts w:hint="eastAsia" w:ascii="Times New Roman" w:hAnsi="Times New Roman" w:eastAsia="宋体" w:cs="Times New Roman"/>
                <w:color w:val="000000" w:themeColor="text1"/>
                <w:sz w:val="24"/>
                <w:highlight w:val="none"/>
                <w:vertAlign w:val="subscript"/>
                <w14:textFill>
                  <w14:solidFill>
                    <w14:schemeClr w14:val="tx1"/>
                  </w14:solidFill>
                </w14:textFill>
              </w:rPr>
              <w:t>3</w:t>
            </w:r>
            <w:r>
              <w:rPr>
                <w:rFonts w:hint="eastAsia" w:ascii="Times New Roman" w:hAnsi="Times New Roman" w:eastAsia="宋体" w:cs="Times New Roman"/>
                <w:color w:val="000000" w:themeColor="text1"/>
                <w:sz w:val="24"/>
                <w:highlight w:val="none"/>
                <w14:textFill>
                  <w14:solidFill>
                    <w14:schemeClr w14:val="tx1"/>
                  </w14:solidFill>
                </w14:textFill>
              </w:rPr>
              <w:t>环境空气质量均满足《环境空气质量标准》（GB3095-2012）及其修改单的二级标准要求，项目所在区域为达标区。</w:t>
            </w:r>
          </w:p>
          <w:p>
            <w:pPr>
              <w:spacing w:line="360" w:lineRule="auto"/>
              <w:ind w:firstLine="482" w:firstLineChars="200"/>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highlight w:val="none"/>
                <w14:textFill>
                  <w14:solidFill>
                    <w14:schemeClr w14:val="tx1"/>
                  </w14:solidFill>
                </w14:textFill>
              </w:rPr>
              <w:t>2、地表水环境质量现状</w:t>
            </w:r>
          </w:p>
          <w:p>
            <w:pPr>
              <w:spacing w:line="360" w:lineRule="auto"/>
              <w:ind w:firstLine="480"/>
              <w:rPr>
                <w:rFonts w:ascii="Times New Roman" w:hAnsi="Times New Roman" w:eastAsia="宋体" w:cs="Times New Roman"/>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南</w:t>
            </w:r>
            <w:r>
              <w:rPr>
                <w:color w:val="000000" w:themeColor="text1"/>
                <w:sz w:val="24"/>
                <w:highlight w:val="none"/>
                <w14:textFill>
                  <w14:solidFill>
                    <w14:schemeClr w14:val="tx1"/>
                  </w14:solidFill>
                </w14:textFill>
              </w:rPr>
              <w:t>侧</w:t>
            </w:r>
            <w:r>
              <w:rPr>
                <w:rFonts w:hint="eastAsia" w:ascii="Times New Roman" w:hAnsi="Times New Roman" w:cs="Times New Roman"/>
                <w:color w:val="000000" w:themeColor="text1"/>
                <w:sz w:val="24"/>
                <w:highlight w:val="none"/>
                <w14:textFill>
                  <w14:solidFill>
                    <w14:schemeClr w14:val="tx1"/>
                  </w14:solidFill>
                </w14:textFill>
              </w:rPr>
              <w:t>45</w:t>
            </w:r>
            <w:r>
              <w:rPr>
                <w:rFonts w:ascii="Times New Roman" w:hAnsi="Times New Roman" w:cs="Times New Roman"/>
                <w:color w:val="000000" w:themeColor="text1"/>
                <w:sz w:val="24"/>
                <w:highlight w:val="none"/>
                <w14:textFill>
                  <w14:solidFill>
                    <w14:schemeClr w14:val="tx1"/>
                  </w14:solidFill>
                </w14:textFill>
              </w:rPr>
              <w:t>m</w:t>
            </w:r>
            <w:r>
              <w:rPr>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伊逊</w:t>
            </w:r>
            <w:r>
              <w:rPr>
                <w:rFonts w:hint="eastAsia"/>
                <w:color w:val="000000" w:themeColor="text1"/>
                <w:sz w:val="24"/>
                <w:highlight w:val="none"/>
                <w14:textFill>
                  <w14:solidFill>
                    <w14:schemeClr w14:val="tx1"/>
                  </w14:solidFill>
                </w14:textFill>
              </w:rPr>
              <w:t>河</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按照河北省水利厅与河北省环境保护厅联合下发的关于调整公布《河北省水功能区划》的通知（冀水资[2017]127号）的要求，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伊逊</w:t>
            </w:r>
            <w:r>
              <w:rPr>
                <w:rFonts w:hint="eastAsia" w:ascii="Times New Roman" w:hAnsi="Times New Roman" w:cs="Times New Roman"/>
                <w:color w:val="000000" w:themeColor="text1"/>
                <w:sz w:val="24"/>
                <w:highlight w:val="none"/>
                <w14:textFill>
                  <w14:solidFill>
                    <w14:schemeClr w14:val="tx1"/>
                  </w14:solidFill>
                </w14:textFill>
              </w:rPr>
              <w:t>河</w:t>
            </w:r>
            <w:r>
              <w:rPr>
                <w:rFonts w:hint="eastAsia" w:ascii="Times New Roman" w:hAnsi="Times New Roman" w:eastAsia="宋体" w:cs="Times New Roman"/>
                <w:color w:val="000000" w:themeColor="text1"/>
                <w:sz w:val="24"/>
                <w:highlight w:val="none"/>
                <w14:textFill>
                  <w14:solidFill>
                    <w14:schemeClr w14:val="tx1"/>
                  </w14:solidFill>
                </w14:textFill>
              </w:rPr>
              <w:t>保护级别为地表水Ⅲ类水体，执行《地表水环境质量标准》（GB3838-2002）Ⅲ类标准。</w:t>
            </w:r>
          </w:p>
          <w:p>
            <w:pPr>
              <w:pStyle w:val="59"/>
              <w:ind w:firstLine="48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w:t>
            </w:r>
            <w:r>
              <w:rPr>
                <w:rFonts w:ascii="Times New Roman" w:hAnsi="Times New Roman" w:cs="Times New Roman"/>
                <w:color w:val="000000" w:themeColor="text1"/>
                <w:sz w:val="24"/>
                <w:highlight w:val="none"/>
                <w14:textFill>
                  <w14:solidFill>
                    <w14:schemeClr w14:val="tx1"/>
                  </w14:solidFill>
                </w14:textFill>
              </w:rPr>
              <w:t>《202</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年承德市生态环境状况公报》</w:t>
            </w:r>
            <w:r>
              <w:rPr>
                <w:rFonts w:ascii="Times New Roman" w:hAnsi="Times New Roman" w:eastAsia="宋体" w:cs="Times New Roman"/>
                <w:color w:val="000000" w:themeColor="text1"/>
                <w:sz w:val="24"/>
                <w:szCs w:val="24"/>
                <w:highlight w:val="none"/>
                <w14:textFill>
                  <w14:solidFill>
                    <w14:schemeClr w14:val="tx1"/>
                  </w14:solidFill>
                </w14:textFill>
              </w:rPr>
              <w:t>可知，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伊逊</w:t>
            </w:r>
            <w:r>
              <w:rPr>
                <w:rFonts w:hint="eastAsia"/>
                <w:color w:val="000000" w:themeColor="text1"/>
                <w:sz w:val="24"/>
                <w:szCs w:val="24"/>
                <w:highlight w:val="none"/>
                <w14:textFill>
                  <w14:solidFill>
                    <w14:schemeClr w14:val="tx1"/>
                  </w14:solidFill>
                </w14:textFill>
              </w:rPr>
              <w:t>河</w:t>
            </w:r>
            <w:r>
              <w:rPr>
                <w:rFonts w:hint="eastAsia" w:ascii="Times New Roman" w:hAnsi="Times New Roman" w:eastAsia="宋体" w:cs="Times New Roman"/>
                <w:color w:val="000000" w:themeColor="text1"/>
                <w:sz w:val="24"/>
                <w:szCs w:val="24"/>
                <w:highlight w:val="none"/>
                <w14:textFill>
                  <w14:solidFill>
                    <w14:schemeClr w14:val="tx1"/>
                  </w14:solidFill>
                </w14:textFill>
              </w:rPr>
              <w:t>共布设地表水常规监测断面2个</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唐三营、李台2个</w:t>
            </w:r>
            <w:r>
              <w:rPr>
                <w:rFonts w:ascii="Times New Roman" w:hAnsi="Times New Roman" w:eastAsia="宋体" w:cs="Times New Roman"/>
                <w:color w:val="000000" w:themeColor="text1"/>
                <w:sz w:val="24"/>
                <w:szCs w:val="24"/>
                <w:highlight w:val="none"/>
                <w14:textFill>
                  <w14:solidFill>
                    <w14:schemeClr w14:val="tx1"/>
                  </w14:solidFill>
                </w14:textFill>
              </w:rPr>
              <w:t>断面</w:t>
            </w:r>
            <w:r>
              <w:rPr>
                <w:rFonts w:hint="eastAsia" w:ascii="Times New Roman" w:hAnsi="Times New Roman" w:eastAsia="宋体" w:cs="Times New Roman"/>
                <w:color w:val="000000" w:themeColor="text1"/>
                <w:sz w:val="24"/>
                <w:szCs w:val="24"/>
                <w:highlight w:val="none"/>
                <w14:textFill>
                  <w14:solidFill>
                    <w14:schemeClr w14:val="tx1"/>
                  </w14:solidFill>
                </w14:textFill>
              </w:rPr>
              <w:t>的</w:t>
            </w:r>
            <w:r>
              <w:rPr>
                <w:rFonts w:ascii="Times New Roman" w:hAnsi="Times New Roman" w:eastAsia="宋体" w:cs="Times New Roman"/>
                <w:color w:val="000000" w:themeColor="text1"/>
                <w:sz w:val="24"/>
                <w:szCs w:val="24"/>
                <w:highlight w:val="none"/>
                <w14:textFill>
                  <w14:solidFill>
                    <w14:schemeClr w14:val="tx1"/>
                  </w14:solidFill>
                </w14:textFill>
              </w:rPr>
              <w:t>监测数据来说明项目所在区域的地表水环境质量状况，质量结果见下表：</w:t>
            </w:r>
          </w:p>
          <w:p>
            <w:pPr>
              <w:pStyle w:val="47"/>
              <w:numPr>
                <w:ilvl w:val="0"/>
                <w:numId w:val="8"/>
              </w:numPr>
              <w:autoSpaceDE w:val="0"/>
              <w:autoSpaceDN w:val="0"/>
              <w:adjustRightInd w:val="0"/>
              <w:spacing w:line="360" w:lineRule="auto"/>
              <w:ind w:left="0" w:firstLine="0" w:firstLineChars="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202</w:t>
            </w:r>
            <w:r>
              <w:rPr>
                <w:rFonts w:hint="eastAsia" w:ascii="Times New Roman" w:hAnsi="Times New Roman" w:eastAsia="宋体"/>
                <w:b/>
                <w:bCs/>
                <w:color w:val="000000" w:themeColor="text1"/>
                <w:szCs w:val="21"/>
                <w:highlight w:val="none"/>
                <w:lang w:val="en-US" w:eastAsia="zh-CN"/>
                <w14:textFill>
                  <w14:solidFill>
                    <w14:schemeClr w14:val="tx1"/>
                  </w14:solidFill>
                </w14:textFill>
              </w:rPr>
              <w:t>2</w:t>
            </w:r>
            <w:r>
              <w:rPr>
                <w:rFonts w:ascii="Times New Roman" w:hAnsi="Times New Roman" w:eastAsia="宋体"/>
                <w:b/>
                <w:bCs/>
                <w:color w:val="000000" w:themeColor="text1"/>
                <w:szCs w:val="21"/>
                <w:highlight w:val="none"/>
                <w14:textFill>
                  <w14:solidFill>
                    <w14:schemeClr w14:val="tx1"/>
                  </w14:solidFill>
                </w14:textFill>
              </w:rPr>
              <w:t>年</w:t>
            </w:r>
            <w:r>
              <w:rPr>
                <w:rFonts w:hint="eastAsia" w:ascii="Times New Roman" w:hAnsi="Times New Roman" w:eastAsia="宋体"/>
                <w:b/>
                <w:bCs/>
                <w:color w:val="000000" w:themeColor="text1"/>
                <w:szCs w:val="21"/>
                <w:highlight w:val="none"/>
                <w:lang w:val="en-US" w:eastAsia="zh-CN"/>
                <w14:textFill>
                  <w14:solidFill>
                    <w14:schemeClr w14:val="tx1"/>
                  </w14:solidFill>
                </w14:textFill>
              </w:rPr>
              <w:t>伊逊</w:t>
            </w:r>
            <w:r>
              <w:rPr>
                <w:rFonts w:hint="eastAsia" w:ascii="Times New Roman" w:hAnsi="Times New Roman" w:eastAsia="宋体"/>
                <w:b/>
                <w:bCs/>
                <w:color w:val="000000" w:themeColor="text1"/>
                <w:szCs w:val="21"/>
                <w:highlight w:val="none"/>
                <w14:textFill>
                  <w14:solidFill>
                    <w14:schemeClr w14:val="tx1"/>
                  </w14:solidFill>
                </w14:textFill>
              </w:rPr>
              <w:t>河相关</w:t>
            </w:r>
            <w:r>
              <w:rPr>
                <w:rFonts w:ascii="Times New Roman" w:hAnsi="Times New Roman" w:eastAsia="宋体"/>
                <w:b/>
                <w:bCs/>
                <w:color w:val="000000" w:themeColor="text1"/>
                <w:szCs w:val="21"/>
                <w:highlight w:val="none"/>
                <w14:textFill>
                  <w14:solidFill>
                    <w14:schemeClr w14:val="tx1"/>
                  </w14:solidFill>
                </w14:textFill>
              </w:rPr>
              <w:t>断面水质类别结果表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609"/>
              <w:gridCol w:w="1168"/>
              <w:gridCol w:w="1172"/>
              <w:gridCol w:w="1315"/>
              <w:gridCol w:w="1168"/>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4" w:type="pct"/>
                  <w:vMerge w:val="restar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河流名称</w:t>
                  </w:r>
                </w:p>
              </w:tc>
              <w:tc>
                <w:tcPr>
                  <w:tcW w:w="957" w:type="pct"/>
                  <w:vMerge w:val="restar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断面名称</w:t>
                  </w:r>
                </w:p>
              </w:tc>
              <w:tc>
                <w:tcPr>
                  <w:tcW w:w="1392" w:type="pct"/>
                  <w:gridSpan w:val="2"/>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各监测断面水质情况</w:t>
                  </w:r>
                </w:p>
              </w:tc>
              <w:tc>
                <w:tcPr>
                  <w:tcW w:w="782" w:type="pct"/>
                  <w:vMerge w:val="restar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主要</w:t>
                  </w:r>
                  <w:r>
                    <w:rPr>
                      <w:rFonts w:ascii="Times New Roman" w:hAnsi="Times New Roman" w:eastAsia="宋体" w:cs="Times New Roman"/>
                      <w:b/>
                      <w:bCs/>
                      <w:color w:val="000000" w:themeColor="text1"/>
                      <w:szCs w:val="21"/>
                      <w:highlight w:val="none"/>
                      <w14:textFill>
                        <w14:solidFill>
                          <w14:schemeClr w14:val="tx1"/>
                        </w14:solidFill>
                      </w14:textFill>
                    </w:rPr>
                    <w:t>污染物</w:t>
                  </w:r>
                </w:p>
              </w:tc>
              <w:tc>
                <w:tcPr>
                  <w:tcW w:w="695" w:type="pct"/>
                  <w:vMerge w:val="restar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水质状况</w:t>
                  </w:r>
                </w:p>
              </w:tc>
              <w:tc>
                <w:tcPr>
                  <w:tcW w:w="477" w:type="pct"/>
                  <w:vMerge w:val="restar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4" w:type="pct"/>
                  <w:vMerge w:val="continue"/>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957" w:type="pct"/>
                  <w:vMerge w:val="continue"/>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695" w:type="pc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202</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1</w:t>
                  </w:r>
                  <w:r>
                    <w:rPr>
                      <w:rFonts w:ascii="Times New Roman" w:hAnsi="Times New Roman" w:cs="Times New Roman"/>
                      <w:b/>
                      <w:bCs/>
                      <w:color w:val="000000" w:themeColor="text1"/>
                      <w:szCs w:val="21"/>
                      <w:highlight w:val="none"/>
                      <w14:textFill>
                        <w14:solidFill>
                          <w14:schemeClr w14:val="tx1"/>
                        </w14:solidFill>
                      </w14:textFill>
                    </w:rPr>
                    <w:t>年</w:t>
                  </w:r>
                </w:p>
              </w:tc>
              <w:tc>
                <w:tcPr>
                  <w:tcW w:w="696" w:type="pct"/>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202</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2</w:t>
                  </w:r>
                  <w:r>
                    <w:rPr>
                      <w:rFonts w:ascii="Times New Roman" w:hAnsi="Times New Roman" w:cs="Times New Roman"/>
                      <w:b/>
                      <w:bCs/>
                      <w:color w:val="000000" w:themeColor="text1"/>
                      <w:szCs w:val="21"/>
                      <w:highlight w:val="none"/>
                      <w14:textFill>
                        <w14:solidFill>
                          <w14:schemeClr w14:val="tx1"/>
                        </w14:solidFill>
                      </w14:textFill>
                    </w:rPr>
                    <w:t>年</w:t>
                  </w:r>
                </w:p>
              </w:tc>
              <w:tc>
                <w:tcPr>
                  <w:tcW w:w="782" w:type="pct"/>
                  <w:vMerge w:val="continue"/>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695" w:type="pct"/>
                  <w:vMerge w:val="continue"/>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477" w:type="pct"/>
                  <w:vMerge w:val="continue"/>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4" w:type="pct"/>
                  <w:vMerge w:val="restar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伊逊</w:t>
                  </w:r>
                  <w:r>
                    <w:rPr>
                      <w:rFonts w:ascii="Times New Roman" w:hAnsi="Times New Roman" w:cs="Times New Roman"/>
                      <w:color w:val="000000" w:themeColor="text1"/>
                      <w:szCs w:val="21"/>
                      <w:highlight w:val="none"/>
                      <w14:textFill>
                        <w14:solidFill>
                          <w14:schemeClr w14:val="tx1"/>
                        </w14:solidFill>
                      </w14:textFill>
                    </w:rPr>
                    <w:t>河</w:t>
                  </w:r>
                </w:p>
              </w:tc>
              <w:tc>
                <w:tcPr>
                  <w:tcW w:w="957"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唐三营</w:t>
                  </w:r>
                </w:p>
              </w:tc>
              <w:tc>
                <w:tcPr>
                  <w:tcW w:w="695" w:type="pct"/>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MS Mincho" w:cs="Times New Roman"/>
                      <w:color w:val="000000" w:themeColor="text1"/>
                      <w:szCs w:val="21"/>
                      <w:highlight w:val="none"/>
                      <w:lang w:eastAsia="ja-JP"/>
                      <w14:textFill>
                        <w14:solidFill>
                          <w14:schemeClr w14:val="tx1"/>
                        </w14:solidFill>
                      </w14:textFill>
                    </w:rPr>
                    <w:t>Ⅲ</w:t>
                  </w:r>
                </w:p>
              </w:tc>
              <w:tc>
                <w:tcPr>
                  <w:tcW w:w="696" w:type="pct"/>
                </w:tcPr>
                <w:p>
                  <w:pPr>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Ⅱ</w:t>
                  </w:r>
                </w:p>
              </w:tc>
              <w:tc>
                <w:tcPr>
                  <w:tcW w:w="782"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p>
              </w:tc>
              <w:tc>
                <w:tcPr>
                  <w:tcW w:w="695" w:type="pct"/>
                  <w:vMerge w:val="restar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优</w:t>
                  </w:r>
                </w:p>
              </w:tc>
              <w:tc>
                <w:tcPr>
                  <w:tcW w:w="477"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4" w:type="pct"/>
                  <w:vMerge w:val="continue"/>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957"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李台</w:t>
                  </w:r>
                </w:p>
              </w:tc>
              <w:tc>
                <w:tcPr>
                  <w:tcW w:w="695" w:type="pct"/>
                  <w:vAlign w:val="center"/>
                </w:tcPr>
                <w:p>
                  <w:pPr>
                    <w:autoSpaceDE w:val="0"/>
                    <w:autoSpaceDN w:val="0"/>
                    <w:adjustRightInd w:val="0"/>
                    <w:jc w:val="center"/>
                    <w:rPr>
                      <w:rFonts w:ascii="Times New Roman" w:hAnsi="Times New Roman" w:eastAsia="宋体" w:cs="Times New Roman"/>
                      <w:color w:val="000000" w:themeColor="text1"/>
                      <w:szCs w:val="21"/>
                      <w:highlight w:val="none"/>
                      <w:lang w:eastAsia="ja-JP"/>
                      <w14:textFill>
                        <w14:solidFill>
                          <w14:schemeClr w14:val="tx1"/>
                        </w14:solidFill>
                      </w14:textFill>
                    </w:rPr>
                  </w:pPr>
                  <w:r>
                    <w:rPr>
                      <w:rFonts w:ascii="Times New Roman" w:hAnsi="Times New Roman" w:eastAsia="MS Mincho" w:cs="Times New Roman"/>
                      <w:color w:val="000000" w:themeColor="text1"/>
                      <w:szCs w:val="21"/>
                      <w:highlight w:val="none"/>
                      <w:lang w:eastAsia="ja-JP"/>
                      <w14:textFill>
                        <w14:solidFill>
                          <w14:schemeClr w14:val="tx1"/>
                        </w14:solidFill>
                      </w14:textFill>
                    </w:rPr>
                    <w:t>Ⅲ</w:t>
                  </w:r>
                </w:p>
              </w:tc>
              <w:tc>
                <w:tcPr>
                  <w:tcW w:w="696" w:type="pct"/>
                  <w:vAlign w:val="center"/>
                </w:tcPr>
                <w:p>
                  <w:pPr>
                    <w:autoSpaceDE w:val="0"/>
                    <w:autoSpaceDN w:val="0"/>
                    <w:adjustRightIn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Ⅱ</w:t>
                  </w:r>
                </w:p>
              </w:tc>
              <w:tc>
                <w:tcPr>
                  <w:tcW w:w="782"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p>
              </w:tc>
              <w:tc>
                <w:tcPr>
                  <w:tcW w:w="695" w:type="pct"/>
                  <w:vMerge w:val="continue"/>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77"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bl>
          <w:p>
            <w:pPr>
              <w:adjustRightInd w:val="0"/>
              <w:snapToGrid w:val="0"/>
              <w:spacing w:line="360" w:lineRule="auto"/>
              <w:ind w:firstLine="482"/>
              <w:rPr>
                <w:rFonts w:ascii="Times New Roman" w:hAnsi="Times New Roman"/>
                <w:bCs/>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由上表可知，</w:t>
            </w:r>
            <w:r>
              <w:rPr>
                <w:rFonts w:hint="eastAsia" w:ascii="Times New Roman" w:hAnsi="Times New Roman" w:eastAsia="宋体" w:cs="Times New Roman"/>
                <w:color w:val="000000" w:themeColor="text1"/>
                <w:sz w:val="24"/>
                <w:szCs w:val="24"/>
                <w:highlight w:val="none"/>
                <w14:textFill>
                  <w14:solidFill>
                    <w14:schemeClr w14:val="tx1"/>
                  </w14:solidFill>
                </w14:textFill>
              </w:rPr>
              <w:t>2022年唐三营、李台断面水质类别均为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Ⅱ</w:t>
            </w:r>
            <w:r>
              <w:rPr>
                <w:rFonts w:hint="eastAsia" w:ascii="Times New Roman" w:hAnsi="Times New Roman" w:eastAsia="宋体" w:cs="Times New Roman"/>
                <w:color w:val="000000" w:themeColor="text1"/>
                <w:sz w:val="24"/>
                <w:szCs w:val="24"/>
                <w:highlight w:val="none"/>
                <w14:textFill>
                  <w14:solidFill>
                    <w14:schemeClr w14:val="tx1"/>
                  </w14:solidFill>
                </w14:textFill>
              </w:rPr>
              <w:t>类。伊河流域总体水质状况为优，</w:t>
            </w:r>
            <w:r>
              <w:rPr>
                <w:rFonts w:hint="eastAsia" w:ascii="Times New Roman" w:hAnsi="Times New Roman"/>
                <w:bCs/>
                <w:color w:val="000000" w:themeColor="text1"/>
                <w:sz w:val="24"/>
                <w:highlight w:val="none"/>
                <w14:textFill>
                  <w14:solidFill>
                    <w14:schemeClr w14:val="tx1"/>
                  </w14:solidFill>
                </w14:textFill>
              </w:rPr>
              <w:t>项目所处断面河流水质较好。</w:t>
            </w:r>
          </w:p>
          <w:p>
            <w:pPr>
              <w:adjustRightInd w:val="0"/>
              <w:snapToGrid w:val="0"/>
              <w:spacing w:line="360" w:lineRule="auto"/>
              <w:ind w:firstLine="482"/>
              <w:rPr>
                <w:rFonts w:ascii="Times New Roman" w:hAnsi="Times New Roman"/>
                <w:b/>
                <w:bCs/>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3、声环境</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厂界外周边50m范围内存在声环境保护目标，声环境现状监测点位图见附图</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ascii="Times New Roman" w:hAnsi="Times New Roman" w:eastAsia="宋体" w:cs="Times New Roman"/>
                <w:color w:val="000000" w:themeColor="text1"/>
                <w:sz w:val="24"/>
                <w:highlight w:val="none"/>
                <w14:textFill>
                  <w14:solidFill>
                    <w14:schemeClr w14:val="tx1"/>
                  </w14:solidFill>
                </w14:textFill>
              </w:rPr>
              <w:t>本次评价对区域</w:t>
            </w:r>
            <w:r>
              <w:rPr>
                <w:rFonts w:hint="eastAsia" w:ascii="Times New Roman" w:hAnsi="Times New Roman" w:eastAsia="宋体" w:cs="Times New Roman"/>
                <w:color w:val="000000" w:themeColor="text1"/>
                <w:sz w:val="24"/>
                <w:highlight w:val="none"/>
                <w14:textFill>
                  <w14:solidFill>
                    <w14:schemeClr w14:val="tx1"/>
                  </w14:solidFill>
                </w14:textFill>
              </w:rPr>
              <w:t>敏感点</w:t>
            </w:r>
            <w:r>
              <w:rPr>
                <w:rFonts w:ascii="Times New Roman" w:hAnsi="Times New Roman" w:eastAsia="宋体" w:cs="Times New Roman"/>
                <w:color w:val="000000" w:themeColor="text1"/>
                <w:sz w:val="24"/>
                <w:highlight w:val="none"/>
                <w14:textFill>
                  <w14:solidFill>
                    <w14:schemeClr w14:val="tx1"/>
                  </w14:solidFill>
                </w14:textFill>
              </w:rPr>
              <w:t>的声环境质量进行了现状调查与监测</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ascii="Times New Roman" w:hAnsi="Times New Roman" w:eastAsia="宋体" w:cs="Times New Roman"/>
                <w:color w:val="000000" w:themeColor="text1"/>
                <w:sz w:val="24"/>
                <w:highlight w:val="none"/>
                <w14:textFill>
                  <w14:solidFill>
                    <w14:schemeClr w14:val="tx1"/>
                  </w14:solidFill>
                </w14:textFill>
              </w:rPr>
              <w:t>简述如下：</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（1）监测布点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Zs1#</w:t>
            </w:r>
            <w:r>
              <w:rPr>
                <w:rFonts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cs="Times New Roman"/>
                <w:bCs/>
                <w:color w:val="000000" w:themeColor="text1"/>
                <w:sz w:val="24"/>
                <w:highlight w:val="none"/>
                <w14:textFill>
                  <w14:solidFill>
                    <w14:schemeClr w14:val="tx1"/>
                  </w14:solidFill>
                </w14:textFill>
              </w:rPr>
              <w:t>厂界外</w:t>
            </w:r>
            <w:r>
              <w:rPr>
                <w:rFonts w:hint="eastAsia" w:ascii="Times New Roman" w:hAnsi="Times New Roman" w:cs="Times New Roman"/>
                <w:bCs/>
                <w:color w:val="000000" w:themeColor="text1"/>
                <w:sz w:val="24"/>
                <w:highlight w:val="none"/>
                <w:lang w:val="en-US" w:eastAsia="zh-CN"/>
                <w14:textFill>
                  <w14:solidFill>
                    <w14:schemeClr w14:val="tx1"/>
                  </w14:solidFill>
                </w14:textFill>
              </w:rPr>
              <w:t>西</w:t>
            </w:r>
            <w:r>
              <w:rPr>
                <w:rFonts w:hint="eastAsia" w:ascii="Times New Roman" w:hAnsi="Times New Roman" w:cs="Times New Roman"/>
                <w:bCs/>
                <w:color w:val="000000" w:themeColor="text1"/>
                <w:sz w:val="24"/>
                <w:highlight w:val="none"/>
                <w14:textFill>
                  <w14:solidFill>
                    <w14:schemeClr w14:val="tx1"/>
                  </w14:solidFill>
                </w14:textFill>
              </w:rPr>
              <w:t>北侧8m处居民点</w:t>
            </w:r>
            <w:r>
              <w:rPr>
                <w:rFonts w:ascii="Times New Roman" w:hAnsi="Times New Roman" w:eastAsia="宋体"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（2）监测因子：</w:t>
            </w:r>
            <w:r>
              <w:rPr>
                <w:rFonts w:ascii="Times New Roman" w:hAnsi="Times New Roman" w:cs="Times New Roman"/>
                <w:bCs/>
                <w:color w:val="000000" w:themeColor="text1"/>
                <w:sz w:val="24"/>
                <w:highlight w:val="none"/>
                <w14:textFill>
                  <w14:solidFill>
                    <w14:schemeClr w14:val="tx1"/>
                  </w14:solidFill>
                </w14:textFill>
              </w:rPr>
              <w:t>昼夜等效连续A声级，L</w:t>
            </w:r>
            <w:r>
              <w:rPr>
                <w:rFonts w:ascii="Times New Roman" w:hAnsi="Times New Roman" w:cs="Times New Roman"/>
                <w:bCs/>
                <w:color w:val="000000" w:themeColor="text1"/>
                <w:sz w:val="24"/>
                <w:highlight w:val="none"/>
                <w:vertAlign w:val="subscript"/>
                <w14:textFill>
                  <w14:solidFill>
                    <w14:schemeClr w14:val="tx1"/>
                  </w14:solidFill>
                </w14:textFill>
              </w:rPr>
              <w:t>eqA</w:t>
            </w:r>
            <w:r>
              <w:rPr>
                <w:rFonts w:hint="eastAsia" w:ascii="Times New Roman" w:hAnsi="Times New Roman" w:eastAsia="宋体"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（3）采样频率及监测结果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202</w:t>
            </w:r>
            <w:r>
              <w:rPr>
                <w:rFonts w:hint="eastAsia" w:ascii="Times New Roman" w:hAnsi="Times New Roman" w:eastAsia="宋体" w:cs="Times New Roman"/>
                <w:color w:val="000000" w:themeColor="text1"/>
                <w:sz w:val="24"/>
                <w:highlight w:val="none"/>
                <w14:textFill>
                  <w14:solidFill>
                    <w14:schemeClr w14:val="tx1"/>
                  </w14:solidFill>
                </w14:textFill>
              </w:rPr>
              <w:t>3年1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highlight w:val="none"/>
                <w14:textFill>
                  <w14:solidFill>
                    <w14:schemeClr w14:val="tx1"/>
                  </w14:solidFill>
                </w14:textFill>
              </w:rPr>
              <w:t>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31</w:t>
            </w:r>
            <w:r>
              <w:rPr>
                <w:rFonts w:hint="eastAsia" w:ascii="Times New Roman" w:hAnsi="Times New Roman" w:eastAsia="宋体" w:cs="Times New Roman"/>
                <w:color w:val="000000" w:themeColor="text1"/>
                <w:sz w:val="24"/>
                <w:highlight w:val="none"/>
                <w14:textFill>
                  <w14:solidFill>
                    <w14:schemeClr w14:val="tx1"/>
                  </w14:solidFill>
                </w14:textFill>
              </w:rPr>
              <w:t>日</w:t>
            </w:r>
            <w:r>
              <w:rPr>
                <w:rFonts w:ascii="Times New Roman" w:hAnsi="Times New Roman" w:eastAsia="宋体" w:cs="Times New Roman"/>
                <w:color w:val="000000" w:themeColor="text1"/>
                <w:sz w:val="24"/>
                <w:highlight w:val="none"/>
                <w14:textFill>
                  <w14:solidFill>
                    <w14:schemeClr w14:val="tx1"/>
                  </w14:solidFill>
                </w14:textFill>
              </w:rPr>
              <w:t>，</w:t>
            </w:r>
            <w:r>
              <w:rPr>
                <w:rFonts w:ascii="Times New Roman" w:hAnsi="Times New Roman" w:cs="Times New Roman"/>
                <w:bCs/>
                <w:color w:val="000000" w:themeColor="text1"/>
                <w:sz w:val="24"/>
                <w:highlight w:val="none"/>
                <w14:textFill>
                  <w14:solidFill>
                    <w14:schemeClr w14:val="tx1"/>
                  </w14:solidFill>
                </w14:textFill>
              </w:rPr>
              <w:t>监测1天，每天昼夜各1次</w:t>
            </w:r>
            <w:r>
              <w:rPr>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4</w:t>
            </w:r>
            <w:r>
              <w:rPr>
                <w:rFonts w:ascii="Times New Roman" w:hAnsi="Times New Roman" w:eastAsia="宋体" w:cs="Times New Roman"/>
                <w:color w:val="000000" w:themeColor="text1"/>
                <w:sz w:val="24"/>
                <w:highlight w:val="none"/>
                <w14:textFill>
                  <w14:solidFill>
                    <w14:schemeClr w14:val="tx1"/>
                  </w14:solidFill>
                </w14:textFill>
              </w:rPr>
              <w:t>）监测结果汇总与统计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根据</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eastAsia="zh-CN"/>
                <w14:textFill>
                  <w14:solidFill>
                    <w14:schemeClr w14:val="tx1"/>
                  </w14:solidFill>
                </w14:textFill>
              </w:rPr>
              <w:t>承德森禧木业有限公司热能中心大气污染物排放标准变更环境影响报告表</w:t>
            </w:r>
            <w:r>
              <w:rPr>
                <w:rFonts w:hint="eastAsia" w:ascii="Times New Roman" w:hAnsi="Times New Roman" w:cs="Times New Roman"/>
                <w:color w:val="000000" w:themeColor="text1"/>
                <w:sz w:val="24"/>
                <w:highlight w:val="none"/>
                <w:lang w:val="en-US" w:eastAsia="zh-CN"/>
                <w14:textFill>
                  <w14:solidFill>
                    <w14:schemeClr w14:val="tx1"/>
                  </w14:solidFill>
                </w14:textFill>
              </w:rPr>
              <w:t>区域环境质量现状监</w:t>
            </w:r>
            <w:r>
              <w:rPr>
                <w:rFonts w:ascii="Times New Roman" w:hAnsi="Times New Roman" w:cs="Times New Roman"/>
                <w:color w:val="000000" w:themeColor="text1"/>
                <w:sz w:val="24"/>
                <w:highlight w:val="none"/>
                <w14:textFill>
                  <w14:solidFill>
                    <w14:schemeClr w14:val="tx1"/>
                  </w14:solidFill>
                </w14:textFill>
              </w:rPr>
              <w:t>测报告》（</w:t>
            </w:r>
            <w:r>
              <w:rPr>
                <w:rFonts w:hint="eastAsia" w:ascii="Times New Roman" w:hAnsi="Times New Roman" w:cs="Times New Roman"/>
                <w:color w:val="000000" w:themeColor="text1"/>
                <w:sz w:val="24"/>
                <w:highlight w:val="none"/>
                <w14:textFill>
                  <w14:solidFill>
                    <w14:schemeClr w14:val="tx1"/>
                  </w14:solidFill>
                </w14:textFill>
              </w:rPr>
              <w:t>（辽鹏环测）字</w:t>
            </w:r>
            <w:r>
              <w:rPr>
                <w:rFonts w:hint="eastAsia" w:ascii="Times New Roman" w:hAnsi="Times New Roman" w:cs="Times New Roman"/>
                <w:color w:val="000000" w:themeColor="text1"/>
                <w:sz w:val="24"/>
                <w:highlight w:val="none"/>
                <w:lang w:val="en-US" w:eastAsia="zh-CN"/>
                <w14:textFill>
                  <w14:solidFill>
                    <w14:schemeClr w14:val="tx1"/>
                  </w14:solidFill>
                </w14:textFill>
              </w:rPr>
              <w:t>PY2310384-001</w:t>
            </w:r>
            <w:r>
              <w:rPr>
                <w:rFonts w:hint="eastAsia" w:ascii="Times New Roman" w:hAnsi="Times New Roman" w:cs="Times New Roman"/>
                <w:color w:val="000000" w:themeColor="text1"/>
                <w:sz w:val="24"/>
                <w:highlight w:val="none"/>
                <w14:textFill>
                  <w14:solidFill>
                    <w14:schemeClr w14:val="tx1"/>
                  </w14:solidFill>
                </w14:textFill>
              </w:rPr>
              <w:t>号</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eastAsia="宋体" w:cs="Times New Roman"/>
                <w:color w:val="000000" w:themeColor="text1"/>
                <w:sz w:val="24"/>
                <w:highlight w:val="none"/>
                <w14:textFill>
                  <w14:solidFill>
                    <w14:schemeClr w14:val="tx1"/>
                  </w14:solidFill>
                </w14:textFill>
              </w:rPr>
              <w:t>声质量现状评价结果见下表。</w:t>
            </w:r>
          </w:p>
          <w:p>
            <w:pPr>
              <w:pStyle w:val="47"/>
              <w:numPr>
                <w:ilvl w:val="0"/>
                <w:numId w:val="8"/>
              </w:numPr>
              <w:autoSpaceDE w:val="0"/>
              <w:autoSpaceDN w:val="0"/>
              <w:adjustRightInd w:val="0"/>
              <w:spacing w:line="360" w:lineRule="auto"/>
              <w:ind w:left="0" w:firstLine="0" w:firstLineChars="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声环境质量现状监测数据表（单位：dB（A））</w:t>
            </w:r>
          </w:p>
          <w:tbl>
            <w:tblPr>
              <w:tblStyle w:val="22"/>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48"/>
              <w:gridCol w:w="2808"/>
              <w:gridCol w:w="2729"/>
              <w:gridCol w:w="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96" w:type="pct"/>
                  <w:tcBorders>
                    <w:tl2br w:val="single" w:color="auto" w:sz="6" w:space="0"/>
                  </w:tcBorders>
                  <w:vAlign w:val="center"/>
                </w:tcPr>
                <w:p>
                  <w:pPr>
                    <w:tabs>
                      <w:tab w:val="left" w:pos="1255"/>
                    </w:tabs>
                    <w:adjustRightInd w:val="0"/>
                    <w:snapToGrid w:val="0"/>
                    <w:spacing w:line="260" w:lineRule="exact"/>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 xml:space="preserve">        监测时间</w:t>
                  </w:r>
                </w:p>
                <w:p>
                  <w:pPr>
                    <w:tabs>
                      <w:tab w:val="left" w:pos="1255"/>
                    </w:tabs>
                    <w:adjustRightInd w:val="0"/>
                    <w:snapToGrid w:val="0"/>
                    <w:spacing w:line="260" w:lineRule="exact"/>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监测点位</w:t>
                  </w:r>
                </w:p>
              </w:tc>
              <w:tc>
                <w:tcPr>
                  <w:tcW w:w="1672" w:type="pct"/>
                  <w:tcBorders>
                    <w:right w:val="single" w:color="auto" w:sz="4" w:space="0"/>
                    <w:tl2br w:val="nil"/>
                    <w:tr2bl w:val="nil"/>
                  </w:tcBorders>
                  <w:vAlign w:val="center"/>
                </w:tcPr>
                <w:p>
                  <w:pPr>
                    <w:tabs>
                      <w:tab w:val="left" w:pos="1255"/>
                    </w:tabs>
                    <w:adjustRightInd w:val="0"/>
                    <w:snapToGrid w:val="0"/>
                    <w:spacing w:line="260" w:lineRule="exact"/>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昼间</w:t>
                  </w:r>
                </w:p>
              </w:tc>
              <w:tc>
                <w:tcPr>
                  <w:tcW w:w="1631" w:type="pct"/>
                  <w:gridSpan w:val="2"/>
                  <w:tcBorders>
                    <w:left w:val="single" w:color="auto" w:sz="4" w:space="0"/>
                    <w:right w:val="single" w:color="auto" w:sz="4" w:space="0"/>
                    <w:tl2br w:val="nil"/>
                    <w:tr2bl w:val="nil"/>
                  </w:tcBorders>
                  <w:vAlign w:val="center"/>
                </w:tcPr>
                <w:p>
                  <w:pPr>
                    <w:tabs>
                      <w:tab w:val="left" w:pos="1255"/>
                    </w:tabs>
                    <w:adjustRightInd w:val="0"/>
                    <w:snapToGrid w:val="0"/>
                    <w:spacing w:line="260" w:lineRule="exact"/>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5" w:type="pct"/>
                <w:trHeight w:val="397" w:hRule="atLeast"/>
              </w:trPr>
              <w:tc>
                <w:tcPr>
                  <w:tcW w:w="1696" w:type="pct"/>
                  <w:tcBorders>
                    <w:tl2br w:val="nil"/>
                    <w:tr2bl w:val="nil"/>
                  </w:tcBorders>
                  <w:vAlign w:val="center"/>
                </w:tcPr>
                <w:p>
                  <w:pPr>
                    <w:tabs>
                      <w:tab w:val="left" w:pos="1255"/>
                    </w:tabs>
                    <w:adjustRightInd w:val="0"/>
                    <w:snapToGrid w:val="0"/>
                    <w:spacing w:line="260" w:lineRule="exac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Zs1#</w:t>
                  </w:r>
                </w:p>
              </w:tc>
              <w:tc>
                <w:tcPr>
                  <w:tcW w:w="1672" w:type="pct"/>
                  <w:tcBorders>
                    <w:right w:val="single" w:color="auto" w:sz="4" w:space="0"/>
                    <w:tl2br w:val="nil"/>
                    <w:tr2bl w:val="nil"/>
                  </w:tcBorders>
                  <w:vAlign w:val="center"/>
                </w:tcPr>
                <w:p>
                  <w:pPr>
                    <w:tabs>
                      <w:tab w:val="left" w:pos="1255"/>
                    </w:tabs>
                    <w:adjustRightInd w:val="0"/>
                    <w:snapToGrid w:val="0"/>
                    <w:spacing w:line="260" w:lineRule="exact"/>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50.5</w:t>
                  </w:r>
                </w:p>
              </w:tc>
              <w:tc>
                <w:tcPr>
                  <w:tcW w:w="1625" w:type="pct"/>
                  <w:tcBorders>
                    <w:right w:val="single" w:color="auto" w:sz="4" w:space="0"/>
                    <w:tl2br w:val="nil"/>
                    <w:tr2bl w:val="nil"/>
                  </w:tcBorders>
                  <w:vAlign w:val="center"/>
                </w:tcPr>
                <w:p>
                  <w:pPr>
                    <w:tabs>
                      <w:tab w:val="left" w:pos="1255"/>
                    </w:tabs>
                    <w:adjustRightInd w:val="0"/>
                    <w:snapToGrid w:val="0"/>
                    <w:spacing w:line="260" w:lineRule="exact"/>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40.3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96" w:type="pct"/>
                  <w:tcBorders>
                    <w:tl2br w:val="nil"/>
                    <w:tr2bl w:val="nil"/>
                  </w:tcBorders>
                  <w:vAlign w:val="center"/>
                </w:tcPr>
                <w:p>
                  <w:pPr>
                    <w:tabs>
                      <w:tab w:val="left" w:pos="1255"/>
                    </w:tabs>
                    <w:adjustRightInd w:val="0"/>
                    <w:snapToGrid w:val="0"/>
                    <w:spacing w:line="260" w:lineRule="exac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标准值</w:t>
                  </w:r>
                </w:p>
              </w:tc>
              <w:tc>
                <w:tcPr>
                  <w:tcW w:w="1672" w:type="pct"/>
                  <w:tcBorders>
                    <w:right w:val="single" w:color="auto" w:sz="4" w:space="0"/>
                    <w:tl2br w:val="nil"/>
                    <w:tr2bl w:val="nil"/>
                  </w:tcBorders>
                  <w:vAlign w:val="center"/>
                </w:tcPr>
                <w:p>
                  <w:pPr>
                    <w:tabs>
                      <w:tab w:val="left" w:pos="1255"/>
                    </w:tabs>
                    <w:adjustRightInd w:val="0"/>
                    <w:snapToGrid w:val="0"/>
                    <w:spacing w:line="260" w:lineRule="exac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60</w:t>
                  </w:r>
                </w:p>
              </w:tc>
              <w:tc>
                <w:tcPr>
                  <w:tcW w:w="1631" w:type="pct"/>
                  <w:gridSpan w:val="2"/>
                  <w:tcBorders>
                    <w:right w:val="single" w:color="auto" w:sz="4" w:space="0"/>
                    <w:tl2br w:val="nil"/>
                    <w:tr2bl w:val="nil"/>
                  </w:tcBorders>
                  <w:vAlign w:val="center"/>
                </w:tcPr>
                <w:p>
                  <w:pPr>
                    <w:tabs>
                      <w:tab w:val="left" w:pos="1255"/>
                    </w:tabs>
                    <w:adjustRightInd w:val="0"/>
                    <w:snapToGrid w:val="0"/>
                    <w:spacing w:line="260" w:lineRule="exac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50</w:t>
                  </w:r>
                </w:p>
              </w:tc>
            </w:tr>
          </w:tbl>
          <w:p>
            <w:pPr>
              <w:adjustRightInd w:val="0"/>
              <w:snapToGrid w:val="0"/>
              <w:spacing w:before="156" w:beforeLines="50"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5</w:t>
            </w:r>
            <w:r>
              <w:rPr>
                <w:rFonts w:ascii="Times New Roman" w:hAnsi="Times New Roman" w:eastAsia="宋体" w:cs="Times New Roman"/>
                <w:color w:val="000000" w:themeColor="text1"/>
                <w:sz w:val="24"/>
                <w:highlight w:val="none"/>
                <w14:textFill>
                  <w14:solidFill>
                    <w14:schemeClr w14:val="tx1"/>
                  </w14:solidFill>
                </w14:textFill>
              </w:rPr>
              <w:t>）结果分析</w:t>
            </w:r>
          </w:p>
          <w:p>
            <w:pPr>
              <w:spacing w:line="360" w:lineRule="auto"/>
              <w:ind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根据区域声环境质量监测结果可知，</w:t>
            </w:r>
            <w:r>
              <w:rPr>
                <w:rFonts w:hint="eastAsia" w:ascii="Times New Roman" w:hAnsi="Times New Roman" w:eastAsia="宋体" w:cs="Times New Roman"/>
                <w:color w:val="000000" w:themeColor="text1"/>
                <w:sz w:val="24"/>
                <w:highlight w:val="none"/>
                <w14:textFill>
                  <w14:solidFill>
                    <w14:schemeClr w14:val="tx1"/>
                  </w14:solidFill>
                </w14:textFill>
              </w:rPr>
              <w:t>项目区域敏感点</w:t>
            </w:r>
            <w:r>
              <w:rPr>
                <w:rFonts w:ascii="Times New Roman" w:hAnsi="Times New Roman" w:eastAsia="宋体" w:cs="Times New Roman"/>
                <w:color w:val="000000" w:themeColor="text1"/>
                <w:sz w:val="24"/>
                <w:highlight w:val="none"/>
                <w14:textFill>
                  <w14:solidFill>
                    <w14:schemeClr w14:val="tx1"/>
                  </w14:solidFill>
                </w14:textFill>
              </w:rPr>
              <w:t>声环境</w:t>
            </w:r>
            <w:r>
              <w:rPr>
                <w:rFonts w:ascii="Times New Roman" w:hAnsi="Times New Roman" w:eastAsia="宋体" w:cs="Times New Roman"/>
                <w:snapToGrid w:val="0"/>
                <w:color w:val="000000" w:themeColor="text1"/>
                <w:kern w:val="24"/>
                <w:sz w:val="24"/>
                <w:highlight w:val="none"/>
                <w14:textFill>
                  <w14:solidFill>
                    <w14:schemeClr w14:val="tx1"/>
                  </w14:solidFill>
                </w14:textFill>
              </w:rPr>
              <w:t>监测结果均满足</w:t>
            </w:r>
            <w:r>
              <w:rPr>
                <w:rFonts w:ascii="Times New Roman" w:hAnsi="Times New Roman" w:eastAsia="宋体" w:cs="Times New Roman"/>
                <w:color w:val="000000" w:themeColor="text1"/>
                <w:sz w:val="24"/>
                <w:highlight w:val="none"/>
                <w14:textFill>
                  <w14:solidFill>
                    <w14:schemeClr w14:val="tx1"/>
                  </w14:solidFill>
                </w14:textFill>
              </w:rPr>
              <w:t>《声环境质量标准》（GB3096-2008）中的</w:t>
            </w:r>
            <w:r>
              <w:rPr>
                <w:rFonts w:hint="eastAsia" w:ascii="Times New Roman" w:hAnsi="Times New Roman" w:eastAsia="宋体" w:cs="Times New Roman"/>
                <w:color w:val="000000" w:themeColor="text1"/>
                <w:sz w:val="24"/>
                <w:highlight w:val="none"/>
                <w14:textFill>
                  <w14:solidFill>
                    <w14:schemeClr w14:val="tx1"/>
                  </w14:solidFill>
                </w14:textFill>
              </w:rPr>
              <w:t>2</w:t>
            </w:r>
            <w:r>
              <w:rPr>
                <w:rFonts w:ascii="Times New Roman" w:hAnsi="Times New Roman" w:eastAsia="宋体" w:cs="Times New Roman"/>
                <w:color w:val="000000" w:themeColor="text1"/>
                <w:sz w:val="24"/>
                <w:highlight w:val="none"/>
                <w14:textFill>
                  <w14:solidFill>
                    <w14:schemeClr w14:val="tx1"/>
                  </w14:solidFill>
                </w14:textFill>
              </w:rPr>
              <w:t>类</w:t>
            </w:r>
            <w:r>
              <w:rPr>
                <w:rFonts w:hint="eastAsia" w:ascii="Times New Roman" w:hAnsi="Times New Roman" w:eastAsia="宋体" w:cs="Times New Roman"/>
                <w:color w:val="000000" w:themeColor="text1"/>
                <w:sz w:val="24"/>
                <w:highlight w:val="none"/>
                <w14:textFill>
                  <w14:solidFill>
                    <w14:schemeClr w14:val="tx1"/>
                  </w14:solidFill>
                </w14:textFill>
              </w:rPr>
              <w:t>区</w:t>
            </w:r>
            <w:r>
              <w:rPr>
                <w:rFonts w:ascii="Times New Roman" w:hAnsi="Times New Roman" w:eastAsia="宋体" w:cs="Times New Roman"/>
                <w:color w:val="000000" w:themeColor="text1"/>
                <w:sz w:val="24"/>
                <w:highlight w:val="none"/>
                <w14:textFill>
                  <w14:solidFill>
                    <w14:schemeClr w14:val="tx1"/>
                  </w14:solidFill>
                </w14:textFill>
              </w:rPr>
              <w:t>标准</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pPr>
              <w:adjustRightInd w:val="0"/>
              <w:snapToGrid w:val="0"/>
              <w:spacing w:line="360" w:lineRule="auto"/>
              <w:ind w:firstLine="482" w:firstLineChars="200"/>
              <w:rPr>
                <w:rFonts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4、生态</w:t>
            </w:r>
            <w:r>
              <w:rPr>
                <w:rFonts w:hint="eastAsia" w:ascii="Times New Roman" w:hAnsi="Times New Roman"/>
                <w:b/>
                <w:bCs/>
                <w:color w:val="000000" w:themeColor="text1"/>
                <w:sz w:val="24"/>
                <w:highlight w:val="none"/>
                <w14:textFill>
                  <w14:solidFill>
                    <w14:schemeClr w14:val="tx1"/>
                  </w14:solidFill>
                </w14:textFill>
              </w:rPr>
              <w:t>环境</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本项目不涉及生态环境保护目标，根据《建设项目环境影响报告表编制技术指南（污染影响类）（试行）》要求，不开展生态现状调查</w:t>
            </w:r>
            <w:r>
              <w:rPr>
                <w:color w:val="000000" w:themeColor="text1"/>
                <w:sz w:val="24"/>
                <w:highlight w:val="none"/>
                <w14:textFill>
                  <w14:solidFill>
                    <w14:schemeClr w14:val="tx1"/>
                  </w14:solidFill>
                </w14:textFill>
              </w:rPr>
              <w:t>。</w:t>
            </w:r>
          </w:p>
          <w:p>
            <w:pPr>
              <w:spacing w:line="360" w:lineRule="auto"/>
              <w:ind w:firstLine="482" w:firstLineChars="200"/>
              <w:rPr>
                <w:rFonts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5、电磁辐射</w:t>
            </w:r>
          </w:p>
          <w:p>
            <w:pPr>
              <w:adjustRightInd w:val="0"/>
              <w:snapToGrid w:val="0"/>
              <w:spacing w:line="360" w:lineRule="auto"/>
              <w:ind w:firstLine="480"/>
              <w:rPr>
                <w:rFonts w:ascii="Times New Roman" w:hAnsi="Times New Roman" w:eastAsia="宋体" w:cs="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本项目不属于电磁辐射类项目，根据《建设项目环境影响报告表编制技术指南（污染影响类）（试行）》要求，不开展电磁辐射现状调查</w:t>
            </w:r>
            <w:r>
              <w:rPr>
                <w:rFonts w:ascii="Times New Roman" w:hAnsi="Times New Roman" w:eastAsia="宋体" w:cs="Times New Roman"/>
                <w:color w:val="000000" w:themeColor="text1"/>
                <w:sz w:val="24"/>
                <w:highlight w:val="none"/>
                <w14:textFill>
                  <w14:solidFill>
                    <w14:schemeClr w14:val="tx1"/>
                  </w14:solidFill>
                </w14:textFill>
              </w:rPr>
              <w:t>。</w:t>
            </w:r>
          </w:p>
          <w:p>
            <w:pPr>
              <w:adjustRightInd w:val="0"/>
              <w:snapToGrid w:val="0"/>
              <w:spacing w:line="360" w:lineRule="auto"/>
              <w:ind w:firstLine="482" w:firstLineChars="200"/>
              <w:rPr>
                <w:rFonts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6、地下水、土壤环境</w:t>
            </w:r>
          </w:p>
          <w:p>
            <w:pPr>
              <w:adjustRightInd w:val="0"/>
              <w:snapToGrid w:val="0"/>
              <w:spacing w:line="360" w:lineRule="auto"/>
              <w:ind w:firstLine="480"/>
              <w:rPr>
                <w:rFonts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本项目不存在地下水、土壤环境污染途径，</w:t>
            </w:r>
            <w:r>
              <w:rPr>
                <w:rFonts w:hint="eastAsia"/>
                <w:color w:val="000000" w:themeColor="text1"/>
                <w:sz w:val="24"/>
                <w:highlight w:val="none"/>
                <w14:textFill>
                  <w14:solidFill>
                    <w14:schemeClr w14:val="tx1"/>
                  </w14:solidFill>
                </w14:textFill>
              </w:rPr>
              <w:t>根据《建设项目环境影响报告表编制技术指南（污染影响类）（试行）》要求，不开展</w:t>
            </w:r>
            <w:r>
              <w:rPr>
                <w:rFonts w:hint="eastAsia" w:ascii="Times New Roman" w:hAnsi="Times New Roman" w:cs="Times New Roman"/>
                <w:color w:val="000000" w:themeColor="text1"/>
                <w:sz w:val="24"/>
                <w:highlight w:val="none"/>
                <w14:textFill>
                  <w14:solidFill>
                    <w14:schemeClr w14:val="tx1"/>
                  </w14:solidFill>
                </w14:textFill>
              </w:rPr>
              <w:t>地下水、土壤现状调查</w:t>
            </w:r>
            <w:r>
              <w:rPr>
                <w:rFonts w:hint="eastAsia" w:ascii="Times New Roman" w:hAnsi="Times New Roman" w:eastAsia="宋体" w:cs="Times New Roman"/>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lang w:bidi="ar"/>
                <w14:textFill>
                  <w14:solidFill>
                    <w14:schemeClr w14:val="tx1"/>
                  </w14:solidFill>
                </w14:textFill>
              </w:rPr>
              <w:t>环境保护目标</w:t>
            </w:r>
          </w:p>
        </w:tc>
        <w:tc>
          <w:tcPr>
            <w:tcW w:w="8631"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adjustRightInd w:val="0"/>
              <w:snapToGrid w:val="0"/>
              <w:spacing w:line="360" w:lineRule="auto"/>
              <w:ind w:firstLine="480" w:firstLineChars="200"/>
              <w:rPr>
                <w:rFonts w:ascii="Times New Roman" w:hAnsi="Times New Roman" w:eastAsia="宋体" w:cs="Times New Roman"/>
                <w:snapToGrid w:val="0"/>
                <w:color w:val="000000" w:themeColor="text1"/>
                <w:kern w:val="0"/>
                <w:sz w:val="24"/>
                <w:highlight w:val="none"/>
                <w14:textFill>
                  <w14:solidFill>
                    <w14:schemeClr w14:val="tx1"/>
                  </w14:solidFill>
                </w14:textFill>
              </w:rPr>
            </w:pPr>
            <w:r>
              <w:rPr>
                <w:rFonts w:ascii="Times New Roman" w:hAnsi="Times New Roman" w:eastAsia="宋体" w:cs="Times New Roman"/>
                <w:snapToGrid w:val="0"/>
                <w:color w:val="000000" w:themeColor="text1"/>
                <w:kern w:val="0"/>
                <w:sz w:val="24"/>
                <w:highlight w:val="none"/>
                <w14:textFill>
                  <w14:solidFill>
                    <w14:schemeClr w14:val="tx1"/>
                  </w14:solidFill>
                </w14:textFill>
              </w:rPr>
              <w:t>项目</w:t>
            </w: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场地</w:t>
            </w:r>
            <w:r>
              <w:rPr>
                <w:rFonts w:ascii="Times New Roman" w:hAnsi="Times New Roman" w:eastAsia="宋体" w:cs="Times New Roman"/>
                <w:snapToGrid w:val="0"/>
                <w:color w:val="000000" w:themeColor="text1"/>
                <w:kern w:val="0"/>
                <w:sz w:val="24"/>
                <w:highlight w:val="none"/>
                <w14:textFill>
                  <w14:solidFill>
                    <w14:schemeClr w14:val="tx1"/>
                  </w14:solidFill>
                </w14:textFill>
              </w:rPr>
              <w:t>500m范围内</w:t>
            </w:r>
            <w:r>
              <w:rPr>
                <w:rFonts w:hint="eastAsia"/>
                <w:color w:val="000000" w:themeColor="text1"/>
                <w:sz w:val="24"/>
                <w:highlight w:val="none"/>
                <w14:textFill>
                  <w14:solidFill>
                    <w14:schemeClr w14:val="tx1"/>
                  </w14:solidFill>
                </w14:textFill>
              </w:rPr>
              <w:t>无</w:t>
            </w:r>
            <w:r>
              <w:rPr>
                <w:rFonts w:ascii="Times New Roman" w:hAnsi="Times New Roman" w:cs="Times New Roman"/>
                <w:color w:val="000000" w:themeColor="text1"/>
                <w:sz w:val="24"/>
                <w:highlight w:val="none"/>
                <w14:textFill>
                  <w14:solidFill>
                    <w14:schemeClr w14:val="tx1"/>
                  </w14:solidFill>
                </w14:textFill>
              </w:rPr>
              <w:t>自然保护区、风景名胜区、文化区</w:t>
            </w:r>
            <w:r>
              <w:rPr>
                <w:rFonts w:hint="eastAsia"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存在居住区和农村地区中人群较集中的区域</w:t>
            </w:r>
            <w:r>
              <w:rPr>
                <w:rFonts w:ascii="Times New Roman" w:hAnsi="Times New Roman" w:eastAsia="宋体" w:cs="Times New Roman"/>
                <w:snapToGrid w:val="0"/>
                <w:color w:val="000000" w:themeColor="text1"/>
                <w:kern w:val="0"/>
                <w:sz w:val="24"/>
                <w:highlight w:val="none"/>
                <w14:textFill>
                  <w14:solidFill>
                    <w14:schemeClr w14:val="tx1"/>
                  </w14:solidFill>
                </w14:textFill>
              </w:rPr>
              <w:t>；项目50m范围内</w:t>
            </w: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有</w:t>
            </w:r>
            <w:r>
              <w:rPr>
                <w:rFonts w:ascii="Times New Roman" w:hAnsi="Times New Roman" w:eastAsia="宋体" w:cs="Times New Roman"/>
                <w:snapToGrid w:val="0"/>
                <w:color w:val="000000" w:themeColor="text1"/>
                <w:kern w:val="0"/>
                <w:sz w:val="24"/>
                <w:highlight w:val="none"/>
                <w14:textFill>
                  <w14:solidFill>
                    <w14:schemeClr w14:val="tx1"/>
                  </w14:solidFill>
                </w14:textFill>
              </w:rPr>
              <w:t>声环境保护目标</w:t>
            </w:r>
            <w:r>
              <w:rPr>
                <w:rFonts w:hint="eastAsia" w:ascii="Times New Roman" w:hAnsi="Times New Roman" w:cs="Times New Roman"/>
                <w:color w:val="000000" w:themeColor="text1"/>
                <w:sz w:val="24"/>
                <w:highlight w:val="none"/>
                <w14:textFill>
                  <w14:solidFill>
                    <w14:schemeClr w14:val="tx1"/>
                  </w14:solidFill>
                </w14:textFill>
              </w:rPr>
              <w:t>；项目</w:t>
            </w: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场</w:t>
            </w:r>
            <w:r>
              <w:rPr>
                <w:rFonts w:hint="eastAsia" w:ascii="Times New Roman" w:hAnsi="Times New Roman" w:cs="Times New Roman"/>
                <w:color w:val="000000" w:themeColor="text1"/>
                <w:sz w:val="24"/>
                <w:highlight w:val="none"/>
                <w14:textFill>
                  <w14:solidFill>
                    <w14:schemeClr w14:val="tx1"/>
                  </w14:solidFill>
                </w14:textFill>
              </w:rPr>
              <w:t>界外</w:t>
            </w:r>
            <w:r>
              <w:rPr>
                <w:rFonts w:ascii="Times New Roman" w:hAnsi="Times New Roman" w:cs="Times New Roman"/>
                <w:color w:val="000000" w:themeColor="text1"/>
                <w:sz w:val="24"/>
                <w:highlight w:val="none"/>
                <w14:textFill>
                  <w14:solidFill>
                    <w14:schemeClr w14:val="tx1"/>
                  </w14:solidFill>
                </w14:textFill>
              </w:rPr>
              <w:t>500m范围内</w:t>
            </w:r>
            <w:r>
              <w:rPr>
                <w:rFonts w:hint="eastAsia" w:ascii="Times New Roman" w:hAnsi="Times New Roman" w:cs="Times New Roman"/>
                <w:color w:val="000000" w:themeColor="text1"/>
                <w:sz w:val="24"/>
                <w:highlight w:val="none"/>
                <w14:textFill>
                  <w14:solidFill>
                    <w14:schemeClr w14:val="tx1"/>
                  </w14:solidFill>
                </w14:textFill>
              </w:rPr>
              <w:t>无地下水集中式饮用水水源和热水、矿泉水、温泉等特殊地下水资源；项目用地范围内无特殊生态敏感区、重要生态敏感区</w:t>
            </w:r>
            <w:r>
              <w:rPr>
                <w:rFonts w:ascii="Times New Roman" w:hAnsi="Times New Roman" w:eastAsia="宋体" w:cs="Times New Roman"/>
                <w:snapToGrid w:val="0"/>
                <w:color w:val="000000" w:themeColor="text1"/>
                <w:kern w:val="0"/>
                <w:sz w:val="24"/>
                <w:highlight w:val="none"/>
                <w14:textFill>
                  <w14:solidFill>
                    <w14:schemeClr w14:val="tx1"/>
                  </w14:solidFill>
                </w14:textFill>
              </w:rPr>
              <w:t>。主要</w:t>
            </w: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环境</w:t>
            </w:r>
            <w:r>
              <w:rPr>
                <w:rFonts w:ascii="Times New Roman" w:hAnsi="Times New Roman" w:eastAsia="宋体" w:cs="Times New Roman"/>
                <w:snapToGrid w:val="0"/>
                <w:color w:val="000000" w:themeColor="text1"/>
                <w:kern w:val="0"/>
                <w:sz w:val="24"/>
                <w:highlight w:val="none"/>
                <w14:textFill>
                  <w14:solidFill>
                    <w14:schemeClr w14:val="tx1"/>
                  </w14:solidFill>
                </w14:textFill>
              </w:rPr>
              <w:t>保护目标见下表：</w:t>
            </w:r>
          </w:p>
          <w:p>
            <w:pPr>
              <w:pStyle w:val="47"/>
              <w:numPr>
                <w:ilvl w:val="0"/>
                <w:numId w:val="8"/>
              </w:numPr>
              <w:autoSpaceDE w:val="0"/>
              <w:autoSpaceDN w:val="0"/>
              <w:adjustRightInd w:val="0"/>
              <w:spacing w:line="360" w:lineRule="auto"/>
              <w:ind w:left="0" w:firstLine="0" w:firstLineChars="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主要环境保护目标</w:t>
            </w:r>
          </w:p>
          <w:tbl>
            <w:tblPr>
              <w:tblStyle w:val="22"/>
              <w:tblW w:w="495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930"/>
              <w:gridCol w:w="915"/>
              <w:gridCol w:w="945"/>
              <w:gridCol w:w="735"/>
              <w:gridCol w:w="795"/>
              <w:gridCol w:w="762"/>
              <w:gridCol w:w="914"/>
              <w:gridCol w:w="1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416"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环境要素</w:t>
                  </w:r>
                </w:p>
              </w:tc>
              <w:tc>
                <w:tcPr>
                  <w:tcW w:w="1108" w:type="pct"/>
                  <w:gridSpan w:val="2"/>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坐标</w:t>
                  </w:r>
                </w:p>
              </w:tc>
              <w:tc>
                <w:tcPr>
                  <w:tcW w:w="567"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保护对象</w:t>
                  </w:r>
                </w:p>
              </w:tc>
              <w:tc>
                <w:tcPr>
                  <w:tcW w:w="441"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保护内容</w:t>
                  </w:r>
                </w:p>
              </w:tc>
              <w:tc>
                <w:tcPr>
                  <w:tcW w:w="477"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环境功能区</w:t>
                  </w:r>
                </w:p>
              </w:tc>
              <w:tc>
                <w:tcPr>
                  <w:tcW w:w="457"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相对厂址方位</w:t>
                  </w:r>
                </w:p>
              </w:tc>
              <w:tc>
                <w:tcPr>
                  <w:tcW w:w="549"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相对厂界距离（m）</w:t>
                  </w:r>
                </w:p>
              </w:tc>
              <w:tc>
                <w:tcPr>
                  <w:tcW w:w="981"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环境质量标准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16"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558" w:type="pc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E</w:t>
                  </w:r>
                </w:p>
              </w:tc>
              <w:tc>
                <w:tcPr>
                  <w:tcW w:w="549" w:type="pc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N</w:t>
                  </w:r>
                </w:p>
              </w:tc>
              <w:tc>
                <w:tcPr>
                  <w:tcW w:w="567"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441"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477"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457"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549"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981"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6"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环境空气</w:t>
                  </w:r>
                </w:p>
              </w:tc>
              <w:tc>
                <w:tcPr>
                  <w:tcW w:w="558"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26.798</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49"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59</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6.408</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67"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二十三号村</w:t>
                  </w:r>
                </w:p>
              </w:tc>
              <w:tc>
                <w:tcPr>
                  <w:tcW w:w="441"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477" w:type="pct"/>
                  <w:vMerge w:val="restart"/>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二</w:t>
                  </w:r>
                  <w:r>
                    <w:rPr>
                      <w:bCs/>
                      <w:color w:val="000000" w:themeColor="text1"/>
                      <w:sz w:val="21"/>
                      <w:szCs w:val="21"/>
                      <w:highlight w:val="none"/>
                      <w14:textFill>
                        <w14:solidFill>
                          <w14:schemeClr w14:val="tx1"/>
                        </w14:solidFill>
                      </w14:textFill>
                    </w:rPr>
                    <w:t>类区</w:t>
                  </w:r>
                </w:p>
              </w:tc>
              <w:tc>
                <w:tcPr>
                  <w:tcW w:w="457"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西北</w:t>
                  </w:r>
                  <w:r>
                    <w:rPr>
                      <w:rFonts w:ascii="Times New Roman" w:hAnsi="Times New Roman" w:eastAsia="宋体" w:cs="Times New Roman"/>
                      <w:bCs/>
                      <w:color w:val="000000" w:themeColor="text1"/>
                      <w:kern w:val="44"/>
                      <w:szCs w:val="21"/>
                      <w:highlight w:val="none"/>
                      <w14:textFill>
                        <w14:solidFill>
                          <w14:schemeClr w14:val="tx1"/>
                        </w14:solidFill>
                      </w14:textFill>
                    </w:rPr>
                    <w:t>侧</w:t>
                  </w:r>
                </w:p>
              </w:tc>
              <w:tc>
                <w:tcPr>
                  <w:tcW w:w="549" w:type="pct"/>
                  <w:shd w:val="clear" w:color="auto" w:fill="auto"/>
                  <w:vAlign w:val="center"/>
                </w:tcPr>
                <w:p>
                  <w:pPr>
                    <w:topLinePunct/>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8</w:t>
                  </w:r>
                </w:p>
              </w:tc>
              <w:tc>
                <w:tcPr>
                  <w:tcW w:w="981" w:type="pct"/>
                  <w:vMerge w:val="restar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《环境空气质量标准》（GB3095-2012）及其修改单中的二级标准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6" w:type="pct"/>
                  <w:vMerge w:val="continue"/>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p>
              </w:tc>
              <w:tc>
                <w:tcPr>
                  <w:tcW w:w="558"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43</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9.748</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49"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58</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57.756</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67" w:type="pct"/>
                  <w:shd w:val="clear" w:color="auto" w:fill="auto"/>
                  <w:vAlign w:val="center"/>
                </w:tcPr>
                <w:p>
                  <w:pPr>
                    <w:widowControl/>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十九号村</w:t>
                  </w:r>
                </w:p>
              </w:tc>
              <w:tc>
                <w:tcPr>
                  <w:tcW w:w="441"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477" w:type="pct"/>
                  <w:vMerge w:val="continue"/>
                  <w:shd w:val="clear" w:color="auto" w:fill="auto"/>
                  <w:vAlign w:val="center"/>
                </w:tcPr>
                <w:p>
                  <w:pPr>
                    <w:pStyle w:val="21"/>
                    <w:spacing w:after="0" w:line="240" w:lineRule="auto"/>
                    <w:ind w:left="0" w:leftChars="0" w:firstLine="0" w:firstLineChars="0"/>
                    <w:jc w:val="center"/>
                    <w:rPr>
                      <w:rFonts w:hint="eastAsia"/>
                      <w:bCs/>
                      <w:color w:val="000000" w:themeColor="text1"/>
                      <w:sz w:val="21"/>
                      <w:szCs w:val="21"/>
                      <w:highlight w:val="none"/>
                      <w14:textFill>
                        <w14:solidFill>
                          <w14:schemeClr w14:val="tx1"/>
                        </w14:solidFill>
                      </w14:textFill>
                    </w:rPr>
                  </w:pPr>
                </w:p>
              </w:tc>
              <w:tc>
                <w:tcPr>
                  <w:tcW w:w="457" w:type="pct"/>
                  <w:shd w:val="clear" w:color="auto" w:fill="auto"/>
                  <w:vAlign w:val="center"/>
                </w:tcPr>
                <w:p>
                  <w:pPr>
                    <w:topLinePunct/>
                    <w:jc w:val="center"/>
                    <w:rPr>
                      <w:rFonts w:hint="default" w:ascii="Times New Roman" w:hAnsi="Times New Roman" w:eastAsia="宋体" w:cs="Times New Roman"/>
                      <w:bCs/>
                      <w:color w:val="000000" w:themeColor="text1"/>
                      <w:kern w:val="44"/>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东侧</w:t>
                  </w:r>
                </w:p>
              </w:tc>
              <w:tc>
                <w:tcPr>
                  <w:tcW w:w="549"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312</w:t>
                  </w:r>
                </w:p>
              </w:tc>
              <w:tc>
                <w:tcPr>
                  <w:tcW w:w="981" w:type="pct"/>
                  <w:vMerge w:val="continue"/>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6" w:type="pct"/>
                  <w:vMerge w:val="continue"/>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p>
              </w:tc>
              <w:tc>
                <w:tcPr>
                  <w:tcW w:w="558"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34.600</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49"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58</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2.152</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67" w:type="pct"/>
                  <w:shd w:val="clear" w:color="auto" w:fill="auto"/>
                  <w:vAlign w:val="center"/>
                </w:tcPr>
                <w:p>
                  <w:pPr>
                    <w:widowControl/>
                    <w:jc w:val="center"/>
                    <w:textAlignment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小杨树沟</w:t>
                  </w:r>
                </w:p>
              </w:tc>
              <w:tc>
                <w:tcPr>
                  <w:tcW w:w="441"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477" w:type="pct"/>
                  <w:vMerge w:val="continue"/>
                  <w:shd w:val="clear" w:color="auto" w:fill="auto"/>
                  <w:vAlign w:val="center"/>
                </w:tcPr>
                <w:p>
                  <w:pPr>
                    <w:pStyle w:val="21"/>
                    <w:spacing w:after="0" w:line="240" w:lineRule="auto"/>
                    <w:ind w:left="0" w:leftChars="0" w:firstLine="0" w:firstLineChars="0"/>
                    <w:jc w:val="center"/>
                    <w:rPr>
                      <w:rFonts w:hint="eastAsia"/>
                      <w:bCs/>
                      <w:color w:val="000000" w:themeColor="text1"/>
                      <w:sz w:val="21"/>
                      <w:szCs w:val="21"/>
                      <w:highlight w:val="none"/>
                      <w14:textFill>
                        <w14:solidFill>
                          <w14:schemeClr w14:val="tx1"/>
                        </w14:solidFill>
                      </w14:textFill>
                    </w:rPr>
                  </w:pPr>
                </w:p>
              </w:tc>
              <w:tc>
                <w:tcPr>
                  <w:tcW w:w="457" w:type="pct"/>
                  <w:shd w:val="clear" w:color="auto" w:fill="auto"/>
                  <w:vAlign w:val="center"/>
                </w:tcPr>
                <w:p>
                  <w:pPr>
                    <w:topLinePunct/>
                    <w:jc w:val="center"/>
                    <w:rPr>
                      <w:rFonts w:hint="default" w:ascii="Times New Roman" w:hAnsi="Times New Roman" w:eastAsia="宋体" w:cs="Times New Roman"/>
                      <w:bCs/>
                      <w:color w:val="000000" w:themeColor="text1"/>
                      <w:kern w:val="44"/>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南侧</w:t>
                  </w:r>
                </w:p>
              </w:tc>
              <w:tc>
                <w:tcPr>
                  <w:tcW w:w="549"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292</w:t>
                  </w:r>
                </w:p>
              </w:tc>
              <w:tc>
                <w:tcPr>
                  <w:tcW w:w="981" w:type="pct"/>
                  <w:vMerge w:val="continue"/>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6" w:type="pct"/>
                  <w:vMerge w:val="continue"/>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p>
              </w:tc>
              <w:tc>
                <w:tcPr>
                  <w:tcW w:w="558"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10.267</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49"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58</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42.306</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67" w:type="pct"/>
                  <w:shd w:val="clear" w:color="auto" w:fill="auto"/>
                  <w:vAlign w:val="center"/>
                </w:tcPr>
                <w:p>
                  <w:pPr>
                    <w:widowControl/>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头板沟门村</w:t>
                  </w:r>
                </w:p>
              </w:tc>
              <w:tc>
                <w:tcPr>
                  <w:tcW w:w="441"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477"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457" w:type="pct"/>
                  <w:shd w:val="clear" w:color="auto" w:fill="auto"/>
                  <w:vAlign w:val="center"/>
                </w:tcPr>
                <w:p>
                  <w:pPr>
                    <w:topLinePunct/>
                    <w:jc w:val="center"/>
                    <w:rPr>
                      <w:rFonts w:hint="default" w:ascii="Times New Roman" w:hAnsi="Times New Roman" w:eastAsia="宋体" w:cs="Times New Roman"/>
                      <w:bCs/>
                      <w:color w:val="000000" w:themeColor="text1"/>
                      <w:kern w:val="44"/>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西南侧</w:t>
                  </w:r>
                </w:p>
              </w:tc>
              <w:tc>
                <w:tcPr>
                  <w:tcW w:w="549"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466</w:t>
                  </w:r>
                </w:p>
              </w:tc>
              <w:tc>
                <w:tcPr>
                  <w:tcW w:w="981" w:type="pct"/>
                  <w:vMerge w:val="continue"/>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6" w:type="pct"/>
                  <w:vMerge w:val="continue"/>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p>
              </w:tc>
              <w:tc>
                <w:tcPr>
                  <w:tcW w:w="930" w:type="dxa"/>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32.833</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915" w:type="dxa"/>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58</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51.301</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67" w:type="pct"/>
                  <w:shd w:val="clear" w:color="auto" w:fill="auto"/>
                  <w:vAlign w:val="center"/>
                </w:tcPr>
                <w:p>
                  <w:pPr>
                    <w:widowControl/>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伊逊河</w:t>
                  </w:r>
                </w:p>
              </w:tc>
              <w:tc>
                <w:tcPr>
                  <w:tcW w:w="441"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生态红线</w:t>
                  </w:r>
                </w:p>
              </w:tc>
              <w:tc>
                <w:tcPr>
                  <w:tcW w:w="477" w:type="pct"/>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二</w:t>
                  </w:r>
                  <w:r>
                    <w:rPr>
                      <w:bCs/>
                      <w:color w:val="000000" w:themeColor="text1"/>
                      <w:sz w:val="21"/>
                      <w:szCs w:val="21"/>
                      <w:highlight w:val="none"/>
                      <w14:textFill>
                        <w14:solidFill>
                          <w14:schemeClr w14:val="tx1"/>
                        </w14:solidFill>
                      </w14:textFill>
                    </w:rPr>
                    <w:t>类区</w:t>
                  </w:r>
                </w:p>
              </w:tc>
              <w:tc>
                <w:tcPr>
                  <w:tcW w:w="457" w:type="pct"/>
                  <w:shd w:val="clear" w:color="auto" w:fill="auto"/>
                  <w:vAlign w:val="center"/>
                </w:tcPr>
                <w:p>
                  <w:pPr>
                    <w:topLinePunct/>
                    <w:jc w:val="center"/>
                    <w:rPr>
                      <w:rFonts w:hint="default" w:ascii="Times New Roman" w:hAnsi="Times New Roman" w:eastAsia="宋体" w:cs="Times New Roman"/>
                      <w:bCs/>
                      <w:color w:val="000000" w:themeColor="text1"/>
                      <w:kern w:val="44"/>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南</w:t>
                  </w:r>
                </w:p>
              </w:tc>
              <w:tc>
                <w:tcPr>
                  <w:tcW w:w="549"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45</w:t>
                  </w:r>
                </w:p>
              </w:tc>
              <w:tc>
                <w:tcPr>
                  <w:tcW w:w="981" w:type="pct"/>
                  <w:vMerge w:val="continue"/>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416" w:type="pc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声环境</w:t>
                  </w:r>
                </w:p>
              </w:tc>
              <w:tc>
                <w:tcPr>
                  <w:tcW w:w="558"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26.798</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49"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59</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6.408</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567" w:type="pct"/>
                  <w:shd w:val="clear" w:color="auto" w:fill="auto"/>
                  <w:vAlign w:val="center"/>
                </w:tcPr>
                <w:p>
                  <w:pPr>
                    <w:widowControl/>
                    <w:jc w:val="center"/>
                    <w:textAlignment w:val="center"/>
                    <w:rPr>
                      <w:rFonts w:ascii="Times New Roman" w:hAnsi="Times New Roman" w:eastAsia="宋体" w:cs="Times New Roman"/>
                      <w:bCs/>
                      <w:color w:val="000000" w:themeColor="text1"/>
                      <w:kern w:val="44"/>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二十三号村</w:t>
                  </w:r>
                </w:p>
              </w:tc>
              <w:tc>
                <w:tcPr>
                  <w:tcW w:w="441"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477" w:type="pct"/>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2类区</w:t>
                  </w:r>
                </w:p>
              </w:tc>
              <w:tc>
                <w:tcPr>
                  <w:tcW w:w="457" w:type="pct"/>
                  <w:shd w:val="clear" w:color="auto" w:fill="auto"/>
                  <w:vAlign w:val="center"/>
                </w:tcPr>
                <w:p>
                  <w:pPr>
                    <w:topLinePunct/>
                    <w:jc w:val="center"/>
                    <w:rPr>
                      <w:rFonts w:ascii="Times New Roman" w:hAnsi="Times New Roman" w:eastAsia="宋体" w:cs="Times New Roman"/>
                      <w:bCs/>
                      <w:color w:val="000000" w:themeColor="text1"/>
                      <w:kern w:val="44"/>
                      <w:szCs w:val="21"/>
                      <w:highlight w:val="none"/>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西北</w:t>
                  </w:r>
                  <w:r>
                    <w:rPr>
                      <w:rFonts w:ascii="Times New Roman" w:hAnsi="Times New Roman" w:eastAsia="宋体" w:cs="Times New Roman"/>
                      <w:bCs/>
                      <w:color w:val="000000" w:themeColor="text1"/>
                      <w:kern w:val="44"/>
                      <w:szCs w:val="21"/>
                      <w:highlight w:val="none"/>
                      <w14:textFill>
                        <w14:solidFill>
                          <w14:schemeClr w14:val="tx1"/>
                        </w14:solidFill>
                      </w14:textFill>
                    </w:rPr>
                    <w:t>侧</w:t>
                  </w:r>
                </w:p>
              </w:tc>
              <w:tc>
                <w:tcPr>
                  <w:tcW w:w="549" w:type="pct"/>
                  <w:shd w:val="clear" w:color="auto" w:fill="auto"/>
                  <w:vAlign w:val="center"/>
                </w:tcPr>
                <w:p>
                  <w:pPr>
                    <w:topLinePunct/>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8</w:t>
                  </w:r>
                </w:p>
              </w:tc>
              <w:tc>
                <w:tcPr>
                  <w:tcW w:w="981"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《声环境质量标准》（GB3096-2008）2类</w:t>
                  </w:r>
                  <w:r>
                    <w:rPr>
                      <w:rFonts w:hint="eastAsia"/>
                      <w:color w:val="000000" w:themeColor="text1"/>
                      <w:highlight w:val="none"/>
                      <w14:textFill>
                        <w14:solidFill>
                          <w14:schemeClr w14:val="tx1"/>
                        </w14:solidFill>
                      </w14:textFill>
                    </w:rPr>
                    <w:t>区</w:t>
                  </w:r>
                  <w:r>
                    <w:rPr>
                      <w:rFonts w:ascii="Times New Roman" w:hAnsi="Times New Roman" w:eastAsia="宋体" w:cs="Times New Roman"/>
                      <w:bCs/>
                      <w:color w:val="000000" w:themeColor="text1"/>
                      <w:szCs w:val="21"/>
                      <w:highlight w:val="none"/>
                      <w14:textFill>
                        <w14:solidFill>
                          <w14:schemeClr w14:val="tx1"/>
                        </w14:solidFill>
                      </w14:textFill>
                    </w:rPr>
                    <w:t>标准</w:t>
                  </w:r>
                </w:p>
              </w:tc>
            </w:tr>
          </w:tbl>
          <w:p>
            <w:pPr>
              <w:adjustRightInd w:val="0"/>
              <w:snapToGrid w:val="0"/>
              <w:jc w:val="left"/>
              <w:rPr>
                <w:rFonts w:ascii="Times New Roman" w:hAnsi="Times New Roman" w:eastAsia="宋体" w:cs="Times New Roman"/>
                <w:color w:val="000000" w:themeColor="text1"/>
                <w:ker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83" w:hRule="atLeast"/>
          <w:jc w:val="center"/>
        </w:trPr>
        <w:tc>
          <w:tcPr>
            <w:tcW w:w="438"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lang w:bidi="ar"/>
                <w14:textFill>
                  <w14:solidFill>
                    <w14:schemeClr w14:val="tx1"/>
                  </w14:solidFill>
                </w14:textFill>
              </w:rPr>
              <w:t>污染物排放控制标准</w:t>
            </w:r>
          </w:p>
        </w:tc>
        <w:tc>
          <w:tcPr>
            <w:tcW w:w="863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360" w:lineRule="auto"/>
              <w:ind w:firstLine="482" w:firstLineChars="200"/>
              <w:outlineLvl w:val="0"/>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1、大气污染物排放标准</w:t>
            </w:r>
          </w:p>
          <w:p>
            <w:pPr>
              <w:adjustRightInd w:val="0"/>
              <w:snapToGrid w:val="0"/>
              <w:spacing w:line="360" w:lineRule="auto"/>
              <w:ind w:firstLine="480" w:firstLineChars="200"/>
              <w:jc w:val="left"/>
              <w:rPr>
                <w:rFonts w:hint="eastAsia"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施工期扬尘的排放执行《施工场地扬尘排放标准》（DB 13/ 2934—2019）表1中扬尘排放浓度限值</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运营期热能中心产生的高温烟气用于干燥工艺经除尘后</w:t>
            </w:r>
            <w:r>
              <w:rPr>
                <w:rFonts w:hint="eastAsia" w:ascii="Times New Roman" w:hAnsi="Times New Roman" w:cs="Times New Roman"/>
                <w:color w:val="000000" w:themeColor="text1"/>
                <w:sz w:val="24"/>
                <w:highlight w:val="none"/>
                <w:lang w:val="en-US" w:eastAsia="zh-CN"/>
                <w14:textFill>
                  <w14:solidFill>
                    <w14:schemeClr w14:val="tx1"/>
                  </w14:solidFill>
                </w14:textFill>
              </w:rPr>
              <w:t>经55m高排气筒排放，</w:t>
            </w:r>
            <w:r>
              <w:rPr>
                <w:rFonts w:hint="eastAsia" w:ascii="Times New Roman" w:hAnsi="Times New Roman" w:cs="Times New Roman"/>
                <w:color w:val="000000" w:themeColor="text1"/>
                <w:sz w:val="24"/>
                <w:highlight w:val="none"/>
                <w14:textFill>
                  <w14:solidFill>
                    <w14:schemeClr w14:val="tx1"/>
                  </w14:solidFill>
                </w14:textFill>
              </w:rPr>
              <w:t>排放的颗粒物、SO</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、NOx</w:t>
            </w:r>
            <w:r>
              <w:rPr>
                <w:rFonts w:hint="eastAsia" w:ascii="Times New Roman" w:hAnsi="Times New Roman" w:cs="Times New Roman"/>
                <w:color w:val="000000" w:themeColor="text1"/>
                <w:sz w:val="24"/>
                <w:highlight w:val="none"/>
                <w:lang w:val="en-US" w:eastAsia="zh-CN"/>
                <w14:textFill>
                  <w14:solidFill>
                    <w14:schemeClr w14:val="tx1"/>
                  </w14:solidFill>
                </w14:textFill>
              </w:rPr>
              <w:t>同时</w:t>
            </w:r>
            <w:r>
              <w:rPr>
                <w:rFonts w:hint="eastAsia" w:ascii="Times New Roman" w:hAnsi="Times New Roman" w:cs="Times New Roman"/>
                <w:color w:val="000000" w:themeColor="text1"/>
                <w:sz w:val="24"/>
                <w:highlight w:val="none"/>
                <w14:textFill>
                  <w14:solidFill>
                    <w14:schemeClr w14:val="tx1"/>
                  </w14:solidFill>
                </w14:textFill>
              </w:rPr>
              <w:t>执行</w:t>
            </w:r>
            <w:r>
              <w:rPr>
                <w:rFonts w:hint="eastAsia" w:ascii="Times New Roman" w:hAnsi="Times New Roman"/>
                <w:color w:val="000000" w:themeColor="text1"/>
                <w:sz w:val="24"/>
                <w:highlight w:val="none"/>
                <w:lang w:val="en-US" w:eastAsia="zh-CN"/>
                <w14:textFill>
                  <w14:solidFill>
                    <w14:schemeClr w14:val="tx1"/>
                  </w14:solidFill>
                </w14:textFill>
              </w:rPr>
              <w:t>《承德市工业炉窑综合治理实施方案》 及《大气污染物综合排放标准》 (GB16297-1996)表2新污染源大气污染物排放限值要求</w:t>
            </w:r>
            <w:r>
              <w:rPr>
                <w:rFonts w:hint="eastAsia" w:ascii="Times New Roman" w:hAnsi="Times New Roman" w:cs="Times New Roman"/>
                <w:color w:val="000000" w:themeColor="text1"/>
                <w:sz w:val="24"/>
                <w:highlight w:val="none"/>
                <w:lang w:eastAsia="zh-CN"/>
                <w14:textFill>
                  <w14:solidFill>
                    <w14:schemeClr w14:val="tx1"/>
                  </w14:solidFill>
                </w14:textFill>
              </w:rPr>
              <w:t>。</w:t>
            </w:r>
          </w:p>
          <w:p>
            <w:pPr>
              <w:pStyle w:val="47"/>
              <w:numPr>
                <w:ilvl w:val="0"/>
                <w:numId w:val="8"/>
              </w:numPr>
              <w:autoSpaceDE w:val="0"/>
              <w:autoSpaceDN w:val="0"/>
              <w:adjustRightInd w:val="0"/>
              <w:spacing w:line="360" w:lineRule="auto"/>
              <w:ind w:left="0" w:firstLine="0" w:firstLineChars="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施工期废气</w:t>
            </w:r>
            <w:r>
              <w:rPr>
                <w:rFonts w:ascii="Times New Roman" w:hAnsi="Times New Roman" w:eastAsia="宋体"/>
                <w:b/>
                <w:bCs/>
                <w:color w:val="000000" w:themeColor="text1"/>
                <w:szCs w:val="21"/>
                <w:highlight w:val="none"/>
                <w14:textFill>
                  <w14:solidFill>
                    <w14:schemeClr w14:val="tx1"/>
                  </w14:solidFill>
                </w14:textFill>
              </w:rPr>
              <w:t>执行标准</w:t>
            </w:r>
          </w:p>
          <w:tbl>
            <w:tblPr>
              <w:tblStyle w:val="22"/>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137"/>
              <w:gridCol w:w="1140"/>
              <w:gridCol w:w="1200"/>
              <w:gridCol w:w="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4" w:type="dxa"/>
                  <w:vAlign w:val="center"/>
                </w:tcPr>
                <w:p>
                  <w:pPr>
                    <w:topLinePunc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污染源</w:t>
                  </w:r>
                </w:p>
              </w:tc>
              <w:tc>
                <w:tcPr>
                  <w:tcW w:w="1137" w:type="dxa"/>
                  <w:vAlign w:val="center"/>
                </w:tcPr>
                <w:p>
                  <w:pPr>
                    <w:topLinePunc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污染物</w:t>
                  </w:r>
                </w:p>
              </w:tc>
              <w:tc>
                <w:tcPr>
                  <w:tcW w:w="1140" w:type="dxa"/>
                  <w:vAlign w:val="center"/>
                </w:tcPr>
                <w:p>
                  <w:pPr>
                    <w:topLinePunc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排放类型</w:t>
                  </w:r>
                </w:p>
              </w:tc>
              <w:tc>
                <w:tcPr>
                  <w:tcW w:w="1200" w:type="dxa"/>
                  <w:vAlign w:val="center"/>
                </w:tcPr>
                <w:p>
                  <w:pPr>
                    <w:topLinePunc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浓度限值</w:t>
                  </w:r>
                </w:p>
              </w:tc>
              <w:tc>
                <w:tcPr>
                  <w:tcW w:w="4035" w:type="dxa"/>
                  <w:vAlign w:val="center"/>
                </w:tcPr>
                <w:p>
                  <w:pPr>
                    <w:topLinePunc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4" w:type="dxa"/>
                  <w:vAlign w:val="center"/>
                </w:tcPr>
                <w:p>
                  <w:pPr>
                    <w:topLinePunc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施工期</w:t>
                  </w:r>
                </w:p>
              </w:tc>
              <w:tc>
                <w:tcPr>
                  <w:tcW w:w="1137" w:type="dxa"/>
                  <w:vAlign w:val="center"/>
                </w:tcPr>
                <w:p>
                  <w:pPr>
                    <w:topLinePunc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颗粒物</w:t>
                  </w:r>
                </w:p>
              </w:tc>
              <w:tc>
                <w:tcPr>
                  <w:tcW w:w="1140" w:type="dxa"/>
                  <w:vAlign w:val="center"/>
                </w:tcPr>
                <w:p>
                  <w:pPr>
                    <w:topLinePunc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无组织</w:t>
                  </w:r>
                </w:p>
              </w:tc>
              <w:tc>
                <w:tcPr>
                  <w:tcW w:w="1200" w:type="dxa"/>
                  <w:vAlign w:val="center"/>
                </w:tcPr>
                <w:p>
                  <w:pPr>
                    <w:topLinePunct/>
                    <w:jc w:val="center"/>
                    <w:textAlignment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≤80μg/m</w:t>
                  </w:r>
                  <w:r>
                    <w:rPr>
                      <w:rFonts w:ascii="Times New Roman" w:hAnsi="Times New Roman" w:cs="Times New Roman"/>
                      <w:color w:val="000000" w:themeColor="text1"/>
                      <w:highlight w:val="none"/>
                      <w:vertAlign w:val="superscript"/>
                      <w14:textFill>
                        <w14:solidFill>
                          <w14:schemeClr w14:val="tx1"/>
                        </w14:solidFill>
                      </w14:textFill>
                    </w:rPr>
                    <w:t>3</w:t>
                  </w:r>
                </w:p>
                <w:p>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≤2次/天</w:t>
                  </w:r>
                </w:p>
              </w:tc>
              <w:tc>
                <w:tcPr>
                  <w:tcW w:w="4035" w:type="dxa"/>
                  <w:vAlign w:val="center"/>
                </w:tcPr>
                <w:p>
                  <w:pPr>
                    <w:topLinePunc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《施工场地扬尘排放标准》（DB13/2934-2019）表1扬尘排放浓度限值</w:t>
                  </w:r>
                </w:p>
              </w:tc>
            </w:tr>
          </w:tbl>
          <w:p>
            <w:pPr>
              <w:rPr>
                <w:rFonts w:hint="eastAsia" w:ascii="Times New Roman" w:hAnsi="Times New Roman" w:cs="Times New Roman"/>
                <w:b/>
                <w:color w:val="000000" w:themeColor="text1"/>
                <w:spacing w:val="-11"/>
                <w:kern w:val="44"/>
                <w:sz w:val="20"/>
                <w:szCs w:val="20"/>
                <w:highlight w:val="none"/>
                <w14:textFill>
                  <w14:solidFill>
                    <w14:schemeClr w14:val="tx1"/>
                  </w14:solidFill>
                </w14:textFill>
              </w:rPr>
            </w:pPr>
            <w:r>
              <w:rPr>
                <w:rFonts w:ascii="Times New Roman" w:hAnsi="Times New Roman" w:cs="Times New Roman"/>
                <w:b/>
                <w:color w:val="000000" w:themeColor="text1"/>
                <w:spacing w:val="-11"/>
                <w:kern w:val="44"/>
                <w:sz w:val="20"/>
                <w:szCs w:val="20"/>
                <w:highlight w:val="none"/>
                <w14:textFill>
                  <w14:solidFill>
                    <w14:schemeClr w14:val="tx1"/>
                  </w14:solidFill>
                </w14:textFill>
              </w:rPr>
              <w:t>备注：PM</w:t>
            </w:r>
            <w:r>
              <w:rPr>
                <w:rFonts w:ascii="Times New Roman" w:hAnsi="Times New Roman" w:cs="Times New Roman"/>
                <w:b/>
                <w:color w:val="000000" w:themeColor="text1"/>
                <w:spacing w:val="-11"/>
                <w:kern w:val="44"/>
                <w:sz w:val="20"/>
                <w:szCs w:val="20"/>
                <w:highlight w:val="none"/>
                <w:vertAlign w:val="subscript"/>
                <w14:textFill>
                  <w14:solidFill>
                    <w14:schemeClr w14:val="tx1"/>
                  </w14:solidFill>
                </w14:textFill>
              </w:rPr>
              <w:t>10</w:t>
            </w:r>
            <w:r>
              <w:rPr>
                <w:rFonts w:ascii="Times New Roman" w:hAnsi="Times New Roman" w:cs="Times New Roman"/>
                <w:b/>
                <w:color w:val="000000" w:themeColor="text1"/>
                <w:spacing w:val="-11"/>
                <w:kern w:val="44"/>
                <w:sz w:val="20"/>
                <w:szCs w:val="20"/>
                <w:highlight w:val="none"/>
                <w14:textFill>
                  <w14:solidFill>
                    <w14:schemeClr w14:val="tx1"/>
                  </w14:solidFill>
                </w14:textFill>
              </w:rPr>
              <w:t>排放</w:t>
            </w:r>
            <w:r>
              <w:rPr>
                <w:rFonts w:ascii="Times New Roman" w:hAnsi="Times New Roman" w:cs="Times New Roman"/>
                <w:b/>
                <w:color w:val="000000" w:themeColor="text1"/>
                <w:spacing w:val="-11"/>
                <w:sz w:val="20"/>
                <w:szCs w:val="20"/>
                <w:highlight w:val="none"/>
                <w14:textFill>
                  <w14:solidFill>
                    <w14:schemeClr w14:val="tx1"/>
                  </w14:solidFill>
                </w14:textFill>
              </w:rPr>
              <w:t>标准为</w:t>
            </w:r>
            <w:r>
              <w:rPr>
                <w:rFonts w:ascii="Times New Roman" w:hAnsi="Times New Roman" w:cs="Times New Roman"/>
                <w:b/>
                <w:color w:val="000000" w:themeColor="text1"/>
                <w:spacing w:val="-11"/>
                <w:kern w:val="44"/>
                <w:sz w:val="20"/>
                <w:szCs w:val="20"/>
                <w:highlight w:val="none"/>
                <w14:textFill>
                  <w14:solidFill>
                    <w14:schemeClr w14:val="tx1"/>
                  </w14:solidFill>
                </w14:textFill>
              </w:rPr>
              <w:t>监测点浓度限值，指监测点PM</w:t>
            </w:r>
            <w:r>
              <w:rPr>
                <w:rFonts w:ascii="Times New Roman" w:hAnsi="Times New Roman" w:cs="Times New Roman"/>
                <w:b/>
                <w:color w:val="000000" w:themeColor="text1"/>
                <w:spacing w:val="-11"/>
                <w:kern w:val="44"/>
                <w:sz w:val="20"/>
                <w:szCs w:val="20"/>
                <w:highlight w:val="none"/>
                <w:vertAlign w:val="subscript"/>
                <w14:textFill>
                  <w14:solidFill>
                    <w14:schemeClr w14:val="tx1"/>
                  </w14:solidFill>
                </w14:textFill>
              </w:rPr>
              <w:t>10</w:t>
            </w:r>
            <w:r>
              <w:rPr>
                <w:rFonts w:ascii="Times New Roman" w:hAnsi="Times New Roman" w:cs="Times New Roman"/>
                <w:b/>
                <w:color w:val="000000" w:themeColor="text1"/>
                <w:spacing w:val="-11"/>
                <w:kern w:val="44"/>
                <w:sz w:val="20"/>
                <w:szCs w:val="20"/>
                <w:highlight w:val="none"/>
                <w14:textFill>
                  <w14:solidFill>
                    <w14:schemeClr w14:val="tx1"/>
                  </w14:solidFill>
                </w14:textFill>
              </w:rPr>
              <w:t>小时平均浓度实测值与同时段所属县（市、区）PM</w:t>
            </w:r>
            <w:r>
              <w:rPr>
                <w:rFonts w:ascii="Times New Roman" w:hAnsi="Times New Roman" w:cs="Times New Roman"/>
                <w:b/>
                <w:color w:val="000000" w:themeColor="text1"/>
                <w:spacing w:val="-11"/>
                <w:kern w:val="44"/>
                <w:sz w:val="20"/>
                <w:szCs w:val="20"/>
                <w:highlight w:val="none"/>
                <w:vertAlign w:val="subscript"/>
                <w14:textFill>
                  <w14:solidFill>
                    <w14:schemeClr w14:val="tx1"/>
                  </w14:solidFill>
                </w14:textFill>
              </w:rPr>
              <w:t>10</w:t>
            </w:r>
            <w:r>
              <w:rPr>
                <w:rFonts w:ascii="Times New Roman" w:hAnsi="Times New Roman" w:cs="Times New Roman"/>
                <w:b/>
                <w:color w:val="000000" w:themeColor="text1"/>
                <w:spacing w:val="-11"/>
                <w:kern w:val="44"/>
                <w:sz w:val="20"/>
                <w:szCs w:val="20"/>
                <w:highlight w:val="none"/>
                <w14:textFill>
                  <w14:solidFill>
                    <w14:schemeClr w14:val="tx1"/>
                  </w14:solidFill>
                </w14:textFill>
              </w:rPr>
              <w:t>小时平均浓度的差值。当县（市、区）PM</w:t>
            </w:r>
            <w:r>
              <w:rPr>
                <w:rFonts w:ascii="Times New Roman" w:hAnsi="Times New Roman" w:cs="Times New Roman"/>
                <w:b/>
                <w:color w:val="000000" w:themeColor="text1"/>
                <w:spacing w:val="-11"/>
                <w:kern w:val="44"/>
                <w:sz w:val="20"/>
                <w:szCs w:val="20"/>
                <w:highlight w:val="none"/>
                <w:vertAlign w:val="subscript"/>
                <w14:textFill>
                  <w14:solidFill>
                    <w14:schemeClr w14:val="tx1"/>
                  </w14:solidFill>
                </w14:textFill>
              </w:rPr>
              <w:t>10</w:t>
            </w:r>
            <w:r>
              <w:rPr>
                <w:rFonts w:ascii="Times New Roman" w:hAnsi="Times New Roman" w:cs="Times New Roman"/>
                <w:b/>
                <w:color w:val="000000" w:themeColor="text1"/>
                <w:spacing w:val="-11"/>
                <w:kern w:val="44"/>
                <w:sz w:val="20"/>
                <w:szCs w:val="20"/>
                <w:highlight w:val="none"/>
                <w14:textFill>
                  <w14:solidFill>
                    <w14:schemeClr w14:val="tx1"/>
                  </w14:solidFill>
                </w14:textFill>
              </w:rPr>
              <w:t>小时平均浓度值大于150μg/m³时，以150μg/m³计</w:t>
            </w:r>
            <w:r>
              <w:rPr>
                <w:rFonts w:hint="eastAsia" w:ascii="Times New Roman" w:hAnsi="Times New Roman" w:cs="Times New Roman"/>
                <w:b/>
                <w:color w:val="000000" w:themeColor="text1"/>
                <w:spacing w:val="-11"/>
                <w:kern w:val="44"/>
                <w:sz w:val="20"/>
                <w:szCs w:val="20"/>
                <w:highlight w:val="none"/>
                <w14:textFill>
                  <w14:solidFill>
                    <w14:schemeClr w14:val="tx1"/>
                  </w14:solidFill>
                </w14:textFill>
              </w:rPr>
              <w:t>。</w:t>
            </w:r>
          </w:p>
          <w:p>
            <w:pPr>
              <w:pStyle w:val="47"/>
              <w:numPr>
                <w:ilvl w:val="0"/>
                <w:numId w:val="8"/>
              </w:numPr>
              <w:autoSpaceDE w:val="0"/>
              <w:autoSpaceDN w:val="0"/>
              <w:adjustRightInd w:val="0"/>
              <w:spacing w:line="360" w:lineRule="auto"/>
              <w:ind w:left="0" w:firstLine="0" w:firstLineChars="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运营期</w:t>
            </w:r>
            <w:r>
              <w:rPr>
                <w:rFonts w:hint="eastAsia" w:ascii="Times New Roman" w:hAnsi="Times New Roman" w:eastAsia="宋体"/>
                <w:b/>
                <w:bCs/>
                <w:color w:val="000000" w:themeColor="text1"/>
                <w:szCs w:val="21"/>
                <w:highlight w:val="none"/>
                <w:lang w:val="en-US" w:eastAsia="zh-CN"/>
                <w14:textFill>
                  <w14:solidFill>
                    <w14:schemeClr w14:val="tx1"/>
                  </w14:solidFill>
                </w14:textFill>
              </w:rPr>
              <w:t>颗粒物、二氧化硫、氮氧化物排放</w:t>
            </w:r>
            <w:r>
              <w:rPr>
                <w:rFonts w:ascii="Times New Roman" w:hAnsi="Times New Roman" w:eastAsia="宋体"/>
                <w:b/>
                <w:bCs/>
                <w:color w:val="000000" w:themeColor="text1"/>
                <w:szCs w:val="21"/>
                <w:highlight w:val="none"/>
                <w14:textFill>
                  <w14:solidFill>
                    <w14:schemeClr w14:val="tx1"/>
                  </w14:solidFill>
                </w14:textFill>
              </w:rPr>
              <w:t>标准</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5"/>
              <w:gridCol w:w="524"/>
              <w:gridCol w:w="324"/>
              <w:gridCol w:w="698"/>
              <w:gridCol w:w="893"/>
              <w:gridCol w:w="672"/>
              <w:gridCol w:w="943"/>
              <w:gridCol w:w="728"/>
              <w:gridCol w:w="743"/>
              <w:gridCol w:w="101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30" w:type="pct"/>
                  <w:gridSpan w:val="2"/>
                  <w:vMerge w:val="restart"/>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污染物</w:t>
                  </w:r>
                </w:p>
              </w:tc>
              <w:tc>
                <w:tcPr>
                  <w:tcW w:w="192" w:type="pct"/>
                  <w:vMerge w:val="restart"/>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排放类型</w:t>
                  </w:r>
                </w:p>
              </w:tc>
              <w:tc>
                <w:tcPr>
                  <w:tcW w:w="1347" w:type="pct"/>
                  <w:gridSpan w:val="3"/>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大气</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排放标准</w:t>
                  </w:r>
                </w:p>
              </w:tc>
              <w:tc>
                <w:tcPr>
                  <w:tcW w:w="994" w:type="pct"/>
                  <w:gridSpan w:val="2"/>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炉窑</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排放标准</w:t>
                  </w:r>
                </w:p>
              </w:tc>
              <w:tc>
                <w:tcPr>
                  <w:tcW w:w="1835" w:type="pct"/>
                  <w:gridSpan w:val="3"/>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本项目执行标准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30" w:type="pct"/>
                  <w:gridSpan w:val="2"/>
                  <w:vMerge w:val="continue"/>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p>
              </w:tc>
              <w:tc>
                <w:tcPr>
                  <w:tcW w:w="192" w:type="pct"/>
                  <w:vMerge w:val="continue"/>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p>
              </w:tc>
              <w:tc>
                <w:tcPr>
                  <w:tcW w:w="415" w:type="pct"/>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浓度限值</w:t>
                  </w:r>
                </w:p>
                <w:p>
                  <w:pPr>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mg/m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p>
              </w:tc>
              <w:tc>
                <w:tcPr>
                  <w:tcW w:w="531" w:type="pct"/>
                  <w:vAlign w:val="center"/>
                </w:tcPr>
                <w:p>
                  <w:pPr>
                    <w:jc w:val="cente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最高允许排放速率kg/h</w:t>
                  </w:r>
                </w:p>
              </w:tc>
              <w:tc>
                <w:tcPr>
                  <w:tcW w:w="400" w:type="pct"/>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执行标准</w:t>
                  </w:r>
                </w:p>
              </w:tc>
              <w:tc>
                <w:tcPr>
                  <w:tcW w:w="561" w:type="pct"/>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浓度限值</w:t>
                  </w:r>
                </w:p>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mg/m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p>
              </w:tc>
              <w:tc>
                <w:tcPr>
                  <w:tcW w:w="433" w:type="pct"/>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执行标准</w:t>
                  </w:r>
                </w:p>
              </w:tc>
              <w:tc>
                <w:tcPr>
                  <w:tcW w:w="442" w:type="pct"/>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浓度限值</w:t>
                  </w:r>
                </w:p>
                <w:p>
                  <w:pPr>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mg/m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p>
              </w:tc>
              <w:tc>
                <w:tcPr>
                  <w:tcW w:w="603" w:type="pct"/>
                  <w:vAlign w:val="center"/>
                </w:tcPr>
                <w:p>
                  <w:pPr>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最高允许排放速率kg/h</w:t>
                  </w:r>
                </w:p>
              </w:tc>
              <w:tc>
                <w:tcPr>
                  <w:tcW w:w="789" w:type="pct"/>
                  <w:vAlign w:val="center"/>
                </w:tcPr>
                <w:p>
                  <w:pPr>
                    <w:topLinePunct/>
                    <w:jc w:val="center"/>
                    <w:textAlignment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18" w:type="pct"/>
                  <w:vMerge w:val="restart"/>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热能中心、湿电除尘排气筒出口</w:t>
                  </w:r>
                </w:p>
              </w:tc>
              <w:tc>
                <w:tcPr>
                  <w:tcW w:w="311" w:type="pct"/>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颗粒物</w:t>
                  </w:r>
                </w:p>
              </w:tc>
              <w:tc>
                <w:tcPr>
                  <w:tcW w:w="192" w:type="pct"/>
                  <w:vMerge w:val="restart"/>
                  <w:tcBorders>
                    <w:right w:val="single" w:color="auto" w:sz="4" w:space="0"/>
                  </w:tcBorders>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有组织</w:t>
                  </w:r>
                </w:p>
              </w:tc>
              <w:tc>
                <w:tcPr>
                  <w:tcW w:w="415"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120</w:t>
                  </w:r>
                </w:p>
              </w:tc>
              <w:tc>
                <w:tcPr>
                  <w:tcW w:w="531"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72.5</w:t>
                  </w:r>
                </w:p>
              </w:tc>
              <w:tc>
                <w:tcPr>
                  <w:tcW w:w="400" w:type="pct"/>
                  <w:vMerge w:val="restart"/>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《大气污染物综合排放标准》 (GB16297-1996)表2</w:t>
                  </w:r>
                </w:p>
              </w:tc>
              <w:tc>
                <w:tcPr>
                  <w:tcW w:w="561" w:type="pct"/>
                  <w:vAlign w:val="center"/>
                </w:tcPr>
                <w:p>
                  <w:pPr>
                    <w:topLinePunct/>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w:t>
                  </w:r>
                </w:p>
              </w:tc>
              <w:tc>
                <w:tcPr>
                  <w:tcW w:w="433" w:type="pct"/>
                  <w:vMerge w:val="restart"/>
                  <w:vAlign w:val="center"/>
                </w:tcPr>
                <w:p>
                  <w:pPr>
                    <w:topLinePunct/>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承德市工业炉窑综合治理实施方案</w:t>
                  </w:r>
                </w:p>
              </w:tc>
              <w:tc>
                <w:tcPr>
                  <w:tcW w:w="442"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w:t>
                  </w:r>
                </w:p>
              </w:tc>
              <w:tc>
                <w:tcPr>
                  <w:tcW w:w="603" w:type="pct"/>
                  <w:vAlign w:val="center"/>
                </w:tcPr>
                <w:p>
                  <w:pPr>
                    <w:topLinePunct/>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789" w:type="pct"/>
                  <w:vMerge w:val="restart"/>
                  <w:vAlign w:val="center"/>
                </w:tcPr>
                <w:p>
                  <w:pPr>
                    <w:topLinePunct/>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《大气污染物综合排放标准》 (GB16297-1996)及《承德市工业炉窑综合治理实施方案》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0" w:hRule="atLeast"/>
                <w:jc w:val="center"/>
              </w:trPr>
              <w:tc>
                <w:tcPr>
                  <w:tcW w:w="318" w:type="pct"/>
                  <w:vMerge w:val="continue"/>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1" w:type="pct"/>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192" w:type="pct"/>
                  <w:vMerge w:val="continue"/>
                  <w:tcBorders>
                    <w:right w:val="single" w:color="auto" w:sz="4" w:space="0"/>
                  </w:tcBorders>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15"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550</w:t>
                  </w:r>
                </w:p>
              </w:tc>
              <w:tc>
                <w:tcPr>
                  <w:tcW w:w="531"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47.0</w:t>
                  </w:r>
                </w:p>
              </w:tc>
              <w:tc>
                <w:tcPr>
                  <w:tcW w:w="400" w:type="pct"/>
                  <w:vMerge w:val="continue"/>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1"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200</w:t>
                  </w:r>
                </w:p>
              </w:tc>
              <w:tc>
                <w:tcPr>
                  <w:tcW w:w="433" w:type="pct"/>
                  <w:vMerge w:val="continue"/>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42"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200</w:t>
                  </w:r>
                </w:p>
              </w:tc>
              <w:tc>
                <w:tcPr>
                  <w:tcW w:w="603" w:type="pct"/>
                  <w:vAlign w:val="center"/>
                </w:tcPr>
                <w:p>
                  <w:pPr>
                    <w:topLinePunct/>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789" w:type="pct"/>
                  <w:vMerge w:val="continue"/>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18" w:type="pct"/>
                  <w:vMerge w:val="continue"/>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1" w:type="pct"/>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NOx</w:t>
                  </w:r>
                </w:p>
              </w:tc>
              <w:tc>
                <w:tcPr>
                  <w:tcW w:w="192" w:type="pct"/>
                  <w:vMerge w:val="continue"/>
                  <w:tcBorders>
                    <w:right w:val="single" w:color="auto" w:sz="4" w:space="0"/>
                  </w:tcBorders>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15"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240</w:t>
                  </w:r>
                </w:p>
              </w:tc>
              <w:tc>
                <w:tcPr>
                  <w:tcW w:w="531"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14</w:t>
                  </w:r>
                </w:p>
              </w:tc>
              <w:tc>
                <w:tcPr>
                  <w:tcW w:w="400" w:type="pct"/>
                  <w:vMerge w:val="continue"/>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1"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300</w:t>
                  </w:r>
                </w:p>
              </w:tc>
              <w:tc>
                <w:tcPr>
                  <w:tcW w:w="433" w:type="pct"/>
                  <w:vMerge w:val="continue"/>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42"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240</w:t>
                  </w:r>
                </w:p>
              </w:tc>
              <w:tc>
                <w:tcPr>
                  <w:tcW w:w="603" w:type="pct"/>
                  <w:vAlign w:val="center"/>
                </w:tcPr>
                <w:p>
                  <w:pPr>
                    <w:topLinePunct/>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14</w:t>
                  </w:r>
                </w:p>
              </w:tc>
              <w:tc>
                <w:tcPr>
                  <w:tcW w:w="789" w:type="pct"/>
                  <w:vMerge w:val="continue"/>
                  <w:vAlign w:val="center"/>
                </w:tcPr>
                <w:p>
                  <w:pPr>
                    <w:topLinePunct/>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r>
          </w:tbl>
          <w:p>
            <w:pPr>
              <w:snapToGrid w:val="0"/>
              <w:spacing w:before="156" w:beforeLines="50" w:line="360" w:lineRule="auto"/>
              <w:ind w:firstLine="723" w:firstLineChars="300"/>
              <w:outlineLvl w:val="0"/>
              <w:rPr>
                <w:rFonts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2</w:t>
            </w:r>
            <w:r>
              <w:rPr>
                <w:rFonts w:ascii="Times New Roman" w:hAnsi="Times New Roman" w:eastAsia="宋体" w:cs="Times New Roman"/>
                <w:b/>
                <w:color w:val="000000" w:themeColor="text1"/>
                <w:sz w:val="24"/>
                <w:highlight w:val="none"/>
                <w14:textFill>
                  <w14:solidFill>
                    <w14:schemeClr w14:val="tx1"/>
                  </w14:solidFill>
                </w14:textFill>
              </w:rPr>
              <w:t>、噪声排放标准</w:t>
            </w:r>
          </w:p>
          <w:p>
            <w:pPr>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施工期噪声执行《建筑施工场界环境噪声排放标准》（GB12523-2011）标准；营运期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东、南</w:t>
            </w:r>
            <w:r>
              <w:rPr>
                <w:rFonts w:hint="eastAsia" w:ascii="Times New Roman" w:hAnsi="Times New Roman" w:eastAsia="宋体" w:cs="Times New Roman"/>
                <w:color w:val="000000" w:themeColor="text1"/>
                <w:sz w:val="24"/>
                <w:highlight w:val="none"/>
                <w14:textFill>
                  <w14:solidFill>
                    <w14:schemeClr w14:val="tx1"/>
                  </w14:solidFill>
                </w14:textFill>
              </w:rPr>
              <w:t>厂界执行《工业企业厂界环境噪声排放标准》（GB12348-2008）中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14:textFill>
                  <w14:solidFill>
                    <w14:schemeClr w14:val="tx1"/>
                  </w14:solidFill>
                </w14:textFill>
              </w:rPr>
              <w:t>类标准</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西厂界</w:t>
            </w:r>
            <w:r>
              <w:rPr>
                <w:rFonts w:hint="eastAsia" w:ascii="Times New Roman" w:hAnsi="Times New Roman" w:eastAsia="宋体" w:cs="Times New Roman"/>
                <w:color w:val="000000" w:themeColor="text1"/>
                <w:sz w:val="24"/>
                <w:highlight w:val="none"/>
                <w14:textFill>
                  <w14:solidFill>
                    <w14:schemeClr w14:val="tx1"/>
                  </w14:solidFill>
                </w14:textFill>
              </w:rPr>
              <w:t>执行《工业企业厂界环境噪声排放标准》（GB12348-2008）中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14:textFill>
                  <w14:solidFill>
                    <w14:schemeClr w14:val="tx1"/>
                  </w14:solidFill>
                </w14:textFill>
              </w:rPr>
              <w:t>类标准</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北厂界</w:t>
            </w:r>
            <w:r>
              <w:rPr>
                <w:rFonts w:hint="eastAsia" w:ascii="Times New Roman" w:hAnsi="Times New Roman" w:eastAsia="宋体" w:cs="Times New Roman"/>
                <w:color w:val="000000" w:themeColor="text1"/>
                <w:sz w:val="24"/>
                <w:highlight w:val="none"/>
                <w14:textFill>
                  <w14:solidFill>
                    <w14:schemeClr w14:val="tx1"/>
                  </w14:solidFill>
                </w14:textFill>
              </w:rPr>
              <w:t>执行《工业企业厂界环境噪声排放标准》（GB12348-2008）中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14:textFill>
                  <w14:solidFill>
                    <w14:schemeClr w14:val="tx1"/>
                  </w14:solidFill>
                </w14:textFill>
              </w:rPr>
              <w:t>类标准</w:t>
            </w:r>
            <w:r>
              <w:rPr>
                <w:rFonts w:ascii="Times New Roman" w:hAnsi="Times New Roman" w:eastAsia="宋体" w:cs="Times New Roman"/>
                <w:color w:val="000000" w:themeColor="text1"/>
                <w:sz w:val="24"/>
                <w:highlight w:val="none"/>
                <w14:textFill>
                  <w14:solidFill>
                    <w14:schemeClr w14:val="tx1"/>
                  </w14:solidFill>
                </w14:textFill>
              </w:rPr>
              <w:t>。具体标准限值详见下表：</w:t>
            </w:r>
          </w:p>
          <w:p>
            <w:pPr>
              <w:pStyle w:val="47"/>
              <w:numPr>
                <w:ilvl w:val="0"/>
                <w:numId w:val="8"/>
              </w:numPr>
              <w:autoSpaceDE w:val="0"/>
              <w:autoSpaceDN w:val="0"/>
              <w:adjustRightInd w:val="0"/>
              <w:spacing w:line="360" w:lineRule="auto"/>
              <w:ind w:left="0" w:firstLine="0" w:firstLineChars="0"/>
              <w:jc w:val="center"/>
              <w:rPr>
                <w:rFonts w:ascii="Times New Roman" w:hAnsi="Times New Roman" w:eastAsia="宋体"/>
                <w:b/>
                <w:bCs/>
                <w:color w:val="000000" w:themeColor="text1"/>
                <w:szCs w:val="21"/>
                <w:highlight w:val="none"/>
                <w14:textFill>
                  <w14:solidFill>
                    <w14:schemeClr w14:val="tx1"/>
                  </w14:solidFill>
                </w14:textFill>
              </w:rPr>
            </w:pPr>
            <w:r>
              <w:rPr>
                <w:rFonts w:ascii="Times New Roman" w:hAnsi="Times New Roman" w:eastAsia="宋体"/>
                <w:b/>
                <w:bCs/>
                <w:color w:val="000000" w:themeColor="text1"/>
                <w:szCs w:val="21"/>
                <w:highlight w:val="none"/>
                <w14:textFill>
                  <w14:solidFill>
                    <w14:schemeClr w14:val="tx1"/>
                  </w14:solidFill>
                </w14:textFill>
              </w:rPr>
              <w:t>噪声排放标准</w:t>
            </w:r>
          </w:p>
          <w:tbl>
            <w:tblPr>
              <w:tblStyle w:val="22"/>
              <w:tblpPr w:leftFromText="180" w:rightFromText="180" w:vertAnchor="text" w:tblpXSpec="center" w:tblpY="1"/>
              <w:tblOverlap w:val="never"/>
              <w:tblW w:w="4997" w:type="pct"/>
              <w:jc w:val="center"/>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5"/>
              <w:gridCol w:w="1380"/>
              <w:gridCol w:w="3452"/>
              <w:gridCol w:w="1054"/>
              <w:gridCol w:w="1629"/>
            </w:tblGrid>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7" w:type="pct"/>
                  <w:tcBorders>
                    <w:right w:val="single" w:color="auto" w:sz="4" w:space="0"/>
                  </w:tcBorders>
                  <w:vAlign w:val="center"/>
                </w:tcPr>
                <w:p>
                  <w:pPr>
                    <w:topLinePunct/>
                    <w:adjustRightInd w:val="0"/>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时期</w:t>
                  </w:r>
                </w:p>
              </w:tc>
              <w:tc>
                <w:tcPr>
                  <w:tcW w:w="821" w:type="pct"/>
                  <w:tcBorders>
                    <w:right w:val="single" w:color="auto" w:sz="4" w:space="0"/>
                  </w:tcBorders>
                  <w:vAlign w:val="center"/>
                </w:tcPr>
                <w:p>
                  <w:pPr>
                    <w:topLinePunct/>
                    <w:adjustRightInd w:val="0"/>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污染源类别</w:t>
                  </w:r>
                </w:p>
              </w:tc>
              <w:tc>
                <w:tcPr>
                  <w:tcW w:w="2054" w:type="pct"/>
                  <w:vAlign w:val="center"/>
                </w:tcPr>
                <w:p>
                  <w:pPr>
                    <w:topLinePunct/>
                    <w:adjustRightInd w:val="0"/>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标准名称</w:t>
                  </w:r>
                </w:p>
              </w:tc>
              <w:tc>
                <w:tcPr>
                  <w:tcW w:w="627" w:type="pct"/>
                  <w:vAlign w:val="center"/>
                </w:tcPr>
                <w:p>
                  <w:pPr>
                    <w:topLinePunct/>
                    <w:adjustRightInd w:val="0"/>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污染物</w:t>
                  </w:r>
                </w:p>
              </w:tc>
              <w:tc>
                <w:tcPr>
                  <w:tcW w:w="969" w:type="pct"/>
                  <w:vAlign w:val="center"/>
                </w:tcPr>
                <w:p>
                  <w:pPr>
                    <w:topLinePunct/>
                    <w:adjustRightInd w:val="0"/>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标准值</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7" w:type="pct"/>
                  <w:tcBorders>
                    <w:right w:val="single" w:color="auto" w:sz="4" w:space="0"/>
                  </w:tcBorders>
                  <w:vAlign w:val="center"/>
                </w:tcPr>
                <w:p>
                  <w:pPr>
                    <w:topLinePunct/>
                    <w:adjustRightInd w:val="0"/>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施工期</w:t>
                  </w:r>
                </w:p>
              </w:tc>
              <w:tc>
                <w:tcPr>
                  <w:tcW w:w="821" w:type="pct"/>
                  <w:tcBorders>
                    <w:right w:val="single" w:color="auto" w:sz="4" w:space="0"/>
                  </w:tcBorders>
                  <w:vAlign w:val="center"/>
                </w:tcPr>
                <w:p>
                  <w:pPr>
                    <w:topLinePunct/>
                    <w:adjustRightInd w:val="0"/>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24"/>
                      <w:szCs w:val="21"/>
                      <w:highlight w:val="none"/>
                      <w14:textFill>
                        <w14:solidFill>
                          <w14:schemeClr w14:val="tx1"/>
                        </w14:solidFill>
                      </w14:textFill>
                    </w:rPr>
                    <w:t>噪声</w:t>
                  </w:r>
                </w:p>
              </w:tc>
              <w:tc>
                <w:tcPr>
                  <w:tcW w:w="2054" w:type="pct"/>
                  <w:vAlign w:val="center"/>
                </w:tcPr>
                <w:p>
                  <w:pPr>
                    <w:topLinePunct/>
                    <w:adjustRightInd w:val="0"/>
                    <w:jc w:val="center"/>
                    <w:textAlignment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《建筑施工场界环境噪声排放标准》（GB12523-2011）</w:t>
                  </w:r>
                </w:p>
              </w:tc>
              <w:tc>
                <w:tcPr>
                  <w:tcW w:w="627" w:type="pct"/>
                  <w:vAlign w:val="center"/>
                </w:tcPr>
                <w:p>
                  <w:pPr>
                    <w:topLinePunct/>
                    <w:adjustRightInd w:val="0"/>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等效连续A声级</w:t>
                  </w:r>
                </w:p>
              </w:tc>
              <w:tc>
                <w:tcPr>
                  <w:tcW w:w="969" w:type="pct"/>
                  <w:vAlign w:val="center"/>
                </w:tcPr>
                <w:p>
                  <w:pPr>
                    <w:pStyle w:val="49"/>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昼间≤</w:t>
                  </w:r>
                  <w:r>
                    <w:rPr>
                      <w:rFonts w:hint="eastAsia"/>
                      <w:color w:val="000000" w:themeColor="text1"/>
                      <w:kern w:val="0"/>
                      <w:highlight w:val="none"/>
                      <w14:textFill>
                        <w14:solidFill>
                          <w14:schemeClr w14:val="tx1"/>
                        </w14:solidFill>
                      </w14:textFill>
                    </w:rPr>
                    <w:t>70</w:t>
                  </w:r>
                  <w:r>
                    <w:rPr>
                      <w:color w:val="000000" w:themeColor="text1"/>
                      <w:highlight w:val="none"/>
                      <w14:textFill>
                        <w14:solidFill>
                          <w14:schemeClr w14:val="tx1"/>
                        </w14:solidFill>
                      </w14:textFill>
                    </w:rPr>
                    <w:t>dB(A)</w:t>
                  </w:r>
                </w:p>
                <w:p>
                  <w:pPr>
                    <w:topLinePunct/>
                    <w:adjustRightInd w:val="0"/>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t>夜间≤</w:t>
                  </w:r>
                  <w:r>
                    <w:rPr>
                      <w:rFonts w:hint="eastAsia" w:ascii="Times New Roman" w:hAnsi="Times New Roman" w:eastAsia="宋体" w:cs="Times New Roman"/>
                      <w:color w:val="000000" w:themeColor="text1"/>
                      <w:kern w:val="0"/>
                      <w:highlight w:val="none"/>
                      <w14:textFill>
                        <w14:solidFill>
                          <w14:schemeClr w14:val="tx1"/>
                        </w14:solidFill>
                      </w14:textFill>
                    </w:rPr>
                    <w:t>55</w:t>
                  </w:r>
                  <w:r>
                    <w:rPr>
                      <w:rFonts w:ascii="Times New Roman" w:hAnsi="Times New Roman" w:eastAsia="宋体" w:cs="Times New Roman"/>
                      <w:color w:val="000000" w:themeColor="text1"/>
                      <w:szCs w:val="21"/>
                      <w:highlight w:val="none"/>
                      <w14:textFill>
                        <w14:solidFill>
                          <w14:schemeClr w14:val="tx1"/>
                        </w14:solidFill>
                      </w14:textFill>
                    </w:rPr>
                    <w:t>dB(A)</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7" w:type="pct"/>
                  <w:vMerge w:val="restart"/>
                  <w:tcBorders>
                    <w:right w:val="single" w:color="auto" w:sz="4" w:space="0"/>
                  </w:tcBorders>
                  <w:vAlign w:val="center"/>
                </w:tcPr>
                <w:p>
                  <w:pPr>
                    <w:topLinePunct/>
                    <w:adjustRightInd w:val="0"/>
                    <w:jc w:val="center"/>
                    <w:textAlignment w:val="center"/>
                    <w:rPr>
                      <w:rFonts w:ascii="Times New Roman" w:hAnsi="Times New Roman" w:eastAsia="宋体" w:cs="Times New Roman"/>
                      <w:color w:val="000000" w:themeColor="text1"/>
                      <w:kern w:val="24"/>
                      <w:szCs w:val="21"/>
                      <w:highlight w:val="none"/>
                      <w14:textFill>
                        <w14:solidFill>
                          <w14:schemeClr w14:val="tx1"/>
                        </w14:solidFill>
                      </w14:textFill>
                    </w:rPr>
                  </w:pPr>
                  <w:r>
                    <w:rPr>
                      <w:rFonts w:hint="eastAsia" w:ascii="Times New Roman" w:hAnsi="Times New Roman" w:eastAsia="宋体" w:cs="Times New Roman"/>
                      <w:color w:val="000000" w:themeColor="text1"/>
                      <w:kern w:val="24"/>
                      <w:szCs w:val="21"/>
                      <w:highlight w:val="none"/>
                      <w14:textFill>
                        <w14:solidFill>
                          <w14:schemeClr w14:val="tx1"/>
                        </w14:solidFill>
                      </w14:textFill>
                    </w:rPr>
                    <w:t>运营期</w:t>
                  </w:r>
                </w:p>
              </w:tc>
              <w:tc>
                <w:tcPr>
                  <w:tcW w:w="821" w:type="pct"/>
                  <w:tcBorders>
                    <w:right w:val="single" w:color="auto" w:sz="4" w:space="0"/>
                  </w:tcBorders>
                  <w:vAlign w:val="center"/>
                </w:tcPr>
                <w:p>
                  <w:pPr>
                    <w:topLinePunct/>
                    <w:adjustRightInd w:val="0"/>
                    <w:jc w:val="center"/>
                    <w:textAlignment w:val="center"/>
                    <w:rPr>
                      <w:rFonts w:hint="eastAsia" w:ascii="Times New Roman" w:hAnsi="Times New Roman" w:eastAsia="宋体" w:cs="Times New Roman"/>
                      <w:color w:val="000000" w:themeColor="text1"/>
                      <w:kern w:val="24"/>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4"/>
                      <w:szCs w:val="21"/>
                      <w:highlight w:val="none"/>
                      <w:lang w:val="en-US" w:eastAsia="zh-CN"/>
                      <w14:textFill>
                        <w14:solidFill>
                          <w14:schemeClr w14:val="tx1"/>
                        </w14:solidFill>
                      </w14:textFill>
                    </w:rPr>
                    <w:t>东厂界</w:t>
                  </w:r>
                  <w:r>
                    <w:rPr>
                      <w:rFonts w:ascii="Times New Roman" w:hAnsi="Times New Roman" w:eastAsia="宋体" w:cs="Times New Roman"/>
                      <w:color w:val="000000" w:themeColor="text1"/>
                      <w:kern w:val="24"/>
                      <w:szCs w:val="21"/>
                      <w:highlight w:val="none"/>
                      <w14:textFill>
                        <w14:solidFill>
                          <w14:schemeClr w14:val="tx1"/>
                        </w14:solidFill>
                      </w14:textFill>
                    </w:rPr>
                    <w:t>噪声</w:t>
                  </w:r>
                </w:p>
                <w:p>
                  <w:pPr>
                    <w:topLinePunct/>
                    <w:adjustRightInd w:val="0"/>
                    <w:jc w:val="center"/>
                    <w:textAlignment w:val="center"/>
                    <w:rPr>
                      <w:rFonts w:ascii="Times New Roman" w:hAnsi="Times New Roman" w:eastAsia="宋体" w:cs="Times New Roman"/>
                      <w:color w:val="000000" w:themeColor="text1"/>
                      <w:kern w:val="24"/>
                      <w:szCs w:val="21"/>
                      <w:highlight w:val="none"/>
                      <w14:textFill>
                        <w14:solidFill>
                          <w14:schemeClr w14:val="tx1"/>
                        </w14:solidFill>
                      </w14:textFill>
                    </w:rPr>
                  </w:pPr>
                  <w:r>
                    <w:rPr>
                      <w:rFonts w:hint="eastAsia" w:ascii="Times New Roman" w:hAnsi="Times New Roman" w:eastAsia="宋体" w:cs="Times New Roman"/>
                      <w:color w:val="000000" w:themeColor="text1"/>
                      <w:kern w:val="24"/>
                      <w:szCs w:val="21"/>
                      <w:highlight w:val="none"/>
                      <w:lang w:val="en-US" w:eastAsia="zh-CN"/>
                      <w14:textFill>
                        <w14:solidFill>
                          <w14:schemeClr w14:val="tx1"/>
                        </w14:solidFill>
                      </w14:textFill>
                    </w:rPr>
                    <w:t>南厂界</w:t>
                  </w:r>
                  <w:r>
                    <w:rPr>
                      <w:rFonts w:ascii="Times New Roman" w:hAnsi="Times New Roman" w:eastAsia="宋体" w:cs="Times New Roman"/>
                      <w:color w:val="000000" w:themeColor="text1"/>
                      <w:kern w:val="24"/>
                      <w:szCs w:val="21"/>
                      <w:highlight w:val="none"/>
                      <w14:textFill>
                        <w14:solidFill>
                          <w14:schemeClr w14:val="tx1"/>
                        </w14:solidFill>
                      </w14:textFill>
                    </w:rPr>
                    <w:t>噪声</w:t>
                  </w:r>
                </w:p>
              </w:tc>
              <w:tc>
                <w:tcPr>
                  <w:tcW w:w="2054" w:type="pct"/>
                  <w:vAlign w:val="center"/>
                </w:tcPr>
                <w:p>
                  <w:pPr>
                    <w:topLinePunct/>
                    <w:adjustRightIn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《工业企业厂界环境噪声排放标准》（GB12348-2008）中</w:t>
                  </w:r>
                  <w:r>
                    <w:rPr>
                      <w:rFonts w:hint="eastAsia" w:ascii="Times New Roman" w:hAnsi="Times New Roman" w:cs="Times New Roman"/>
                      <w:color w:val="000000" w:themeColor="text1"/>
                      <w:szCs w:val="21"/>
                      <w:highlight w:val="none"/>
                      <w:lang w:val="en-US" w:eastAsia="zh-CN"/>
                      <w14:textFill>
                        <w14:solidFill>
                          <w14:schemeClr w14:val="tx1"/>
                        </w14:solidFill>
                      </w14:textFill>
                    </w:rPr>
                    <w:t>3</w:t>
                  </w:r>
                  <w:r>
                    <w:rPr>
                      <w:rFonts w:ascii="Times New Roman" w:hAnsi="Times New Roman" w:cs="Times New Roman"/>
                      <w:color w:val="000000" w:themeColor="text1"/>
                      <w:szCs w:val="21"/>
                      <w:highlight w:val="none"/>
                      <w14:textFill>
                        <w14:solidFill>
                          <w14:schemeClr w14:val="tx1"/>
                        </w14:solidFill>
                      </w14:textFill>
                    </w:rPr>
                    <w:t>类标准</w:t>
                  </w:r>
                </w:p>
              </w:tc>
              <w:tc>
                <w:tcPr>
                  <w:tcW w:w="627" w:type="pct"/>
                  <w:vAlign w:val="center"/>
                </w:tcPr>
                <w:p>
                  <w:pPr>
                    <w:topLinePunct/>
                    <w:adjustRightIn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等效连续A声级</w:t>
                  </w:r>
                </w:p>
              </w:tc>
              <w:tc>
                <w:tcPr>
                  <w:tcW w:w="969" w:type="pct"/>
                  <w:vAlign w:val="center"/>
                </w:tcPr>
                <w:p>
                  <w:pPr>
                    <w:pStyle w:val="49"/>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昼间≤</w:t>
                  </w:r>
                  <w:r>
                    <w:rPr>
                      <w:rFonts w:hint="eastAsia"/>
                      <w:color w:val="000000" w:themeColor="text1"/>
                      <w:kern w:val="0"/>
                      <w:highlight w:val="none"/>
                      <w14:textFill>
                        <w14:solidFill>
                          <w14:schemeClr w14:val="tx1"/>
                        </w14:solidFill>
                      </w14:textFill>
                    </w:rPr>
                    <w:t>6</w:t>
                  </w:r>
                  <w:r>
                    <w:rPr>
                      <w:rFonts w:hint="eastAsia"/>
                      <w:color w:val="000000" w:themeColor="text1"/>
                      <w:kern w:val="0"/>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dB(A)</w:t>
                  </w:r>
                </w:p>
                <w:p>
                  <w:pPr>
                    <w:topLinePunct/>
                    <w:adjustRightIn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t>夜间≤</w:t>
                  </w:r>
                  <w:r>
                    <w:rPr>
                      <w:rFonts w:hint="eastAsia" w:ascii="Times New Roman" w:hAnsi="Times New Roman" w:eastAsia="宋体" w:cs="Times New Roman"/>
                      <w:color w:val="000000" w:themeColor="text1"/>
                      <w:kern w:val="0"/>
                      <w:highlight w:val="none"/>
                      <w14:textFill>
                        <w14:solidFill>
                          <w14:schemeClr w14:val="tx1"/>
                        </w14:solidFill>
                      </w14:textFill>
                    </w:rPr>
                    <w:t>5</w:t>
                  </w:r>
                  <w:r>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dB(A)</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7" w:type="pct"/>
                  <w:vMerge w:val="continue"/>
                  <w:tcBorders>
                    <w:right w:val="single" w:color="auto" w:sz="4" w:space="0"/>
                  </w:tcBorders>
                  <w:vAlign w:val="center"/>
                </w:tcPr>
                <w:p>
                  <w:pPr>
                    <w:topLinePunct/>
                    <w:adjustRightInd w:val="0"/>
                    <w:jc w:val="center"/>
                    <w:textAlignment w:val="center"/>
                    <w:rPr>
                      <w:rFonts w:hint="eastAsia" w:ascii="Times New Roman" w:hAnsi="Times New Roman" w:eastAsia="宋体" w:cs="Times New Roman"/>
                      <w:color w:val="000000" w:themeColor="text1"/>
                      <w:kern w:val="24"/>
                      <w:szCs w:val="21"/>
                      <w:highlight w:val="none"/>
                      <w14:textFill>
                        <w14:solidFill>
                          <w14:schemeClr w14:val="tx1"/>
                        </w14:solidFill>
                      </w14:textFill>
                    </w:rPr>
                  </w:pPr>
                </w:p>
              </w:tc>
              <w:tc>
                <w:tcPr>
                  <w:tcW w:w="821" w:type="pct"/>
                  <w:tcBorders>
                    <w:right w:val="single" w:color="auto" w:sz="4" w:space="0"/>
                  </w:tcBorders>
                  <w:vAlign w:val="center"/>
                </w:tcPr>
                <w:p>
                  <w:pPr>
                    <w:topLinePunct/>
                    <w:adjustRightInd w:val="0"/>
                    <w:jc w:val="center"/>
                    <w:textAlignment w:val="center"/>
                    <w:rPr>
                      <w:rFonts w:ascii="Times New Roman" w:hAnsi="Times New Roman" w:eastAsia="宋体" w:cs="Times New Roman"/>
                      <w:color w:val="000000" w:themeColor="text1"/>
                      <w:kern w:val="24"/>
                      <w:szCs w:val="21"/>
                      <w:highlight w:val="none"/>
                      <w14:textFill>
                        <w14:solidFill>
                          <w14:schemeClr w14:val="tx1"/>
                        </w14:solidFill>
                      </w14:textFill>
                    </w:rPr>
                  </w:pPr>
                  <w:r>
                    <w:rPr>
                      <w:rFonts w:hint="eastAsia" w:ascii="Times New Roman" w:hAnsi="Times New Roman" w:eastAsia="宋体" w:cs="Times New Roman"/>
                      <w:color w:val="000000" w:themeColor="text1"/>
                      <w:kern w:val="24"/>
                      <w:szCs w:val="21"/>
                      <w:highlight w:val="none"/>
                      <w:lang w:val="en-US" w:eastAsia="zh-CN"/>
                      <w14:textFill>
                        <w14:solidFill>
                          <w14:schemeClr w14:val="tx1"/>
                        </w14:solidFill>
                      </w14:textFill>
                    </w:rPr>
                    <w:t>西厂界</w:t>
                  </w:r>
                  <w:r>
                    <w:rPr>
                      <w:rFonts w:ascii="Times New Roman" w:hAnsi="Times New Roman" w:eastAsia="宋体" w:cs="Times New Roman"/>
                      <w:color w:val="000000" w:themeColor="text1"/>
                      <w:kern w:val="24"/>
                      <w:szCs w:val="21"/>
                      <w:highlight w:val="none"/>
                      <w14:textFill>
                        <w14:solidFill>
                          <w14:schemeClr w14:val="tx1"/>
                        </w14:solidFill>
                      </w14:textFill>
                    </w:rPr>
                    <w:t>噪声</w:t>
                  </w:r>
                </w:p>
              </w:tc>
              <w:tc>
                <w:tcPr>
                  <w:tcW w:w="2054" w:type="pct"/>
                  <w:vAlign w:val="center"/>
                </w:tcPr>
                <w:p>
                  <w:pPr>
                    <w:topLinePunct/>
                    <w:adjustRightInd w:val="0"/>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《工业企业厂界环境噪声排放标准》（GB12348-2008）中</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ascii="Times New Roman" w:hAnsi="Times New Roman" w:cs="Times New Roman"/>
                      <w:color w:val="000000" w:themeColor="text1"/>
                      <w:szCs w:val="21"/>
                      <w:highlight w:val="none"/>
                      <w14:textFill>
                        <w14:solidFill>
                          <w14:schemeClr w14:val="tx1"/>
                        </w14:solidFill>
                      </w14:textFill>
                    </w:rPr>
                    <w:t>类标准</w:t>
                  </w:r>
                </w:p>
              </w:tc>
              <w:tc>
                <w:tcPr>
                  <w:tcW w:w="627" w:type="pct"/>
                  <w:vAlign w:val="center"/>
                </w:tcPr>
                <w:p>
                  <w:pPr>
                    <w:topLinePunct/>
                    <w:adjustRightIn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等效连续A声级</w:t>
                  </w:r>
                </w:p>
              </w:tc>
              <w:tc>
                <w:tcPr>
                  <w:tcW w:w="969" w:type="pct"/>
                  <w:vAlign w:val="center"/>
                </w:tcPr>
                <w:p>
                  <w:pPr>
                    <w:pStyle w:val="49"/>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昼间≤</w:t>
                  </w:r>
                  <w:r>
                    <w:rPr>
                      <w:rFonts w:hint="eastAsia"/>
                      <w:color w:val="000000" w:themeColor="text1"/>
                      <w:kern w:val="0"/>
                      <w:highlight w:val="none"/>
                      <w14:textFill>
                        <w14:solidFill>
                          <w14:schemeClr w14:val="tx1"/>
                        </w14:solidFill>
                      </w14:textFill>
                    </w:rPr>
                    <w:t>60</w:t>
                  </w:r>
                  <w:r>
                    <w:rPr>
                      <w:color w:val="000000" w:themeColor="text1"/>
                      <w:highlight w:val="none"/>
                      <w14:textFill>
                        <w14:solidFill>
                          <w14:schemeClr w14:val="tx1"/>
                        </w14:solidFill>
                      </w14:textFill>
                    </w:rPr>
                    <w:t>dB(A)</w:t>
                  </w:r>
                </w:p>
                <w:p>
                  <w:pPr>
                    <w:topLinePunct/>
                    <w:adjustRightInd w:val="0"/>
                    <w:jc w:val="center"/>
                    <w:textAlignment w:val="center"/>
                    <w:rPr>
                      <w:rFonts w:ascii="Times New Roman" w:hAnsi="Times New Roman" w:eastAsia="宋体" w:cs="Times New Roman"/>
                      <w:color w:val="000000" w:themeColor="text1"/>
                      <w:kern w:val="0"/>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t>夜间≤</w:t>
                  </w:r>
                  <w:r>
                    <w:rPr>
                      <w:rFonts w:hint="eastAsia" w:ascii="Times New Roman" w:hAnsi="Times New Roman" w:eastAsia="宋体" w:cs="Times New Roman"/>
                      <w:color w:val="000000" w:themeColor="text1"/>
                      <w:kern w:val="0"/>
                      <w:highlight w:val="none"/>
                      <w14:textFill>
                        <w14:solidFill>
                          <w14:schemeClr w14:val="tx1"/>
                        </w14:solidFill>
                      </w14:textFill>
                    </w:rPr>
                    <w:t>50</w:t>
                  </w:r>
                  <w:r>
                    <w:rPr>
                      <w:rFonts w:ascii="Times New Roman" w:hAnsi="Times New Roman" w:eastAsia="宋体" w:cs="Times New Roman"/>
                      <w:color w:val="000000" w:themeColor="text1"/>
                      <w:szCs w:val="21"/>
                      <w:highlight w:val="none"/>
                      <w14:textFill>
                        <w14:solidFill>
                          <w14:schemeClr w14:val="tx1"/>
                        </w14:solidFill>
                      </w14:textFill>
                    </w:rPr>
                    <w:t>dB(A)</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7" w:type="pct"/>
                  <w:vMerge w:val="continue"/>
                  <w:tcBorders>
                    <w:right w:val="single" w:color="auto" w:sz="4" w:space="0"/>
                  </w:tcBorders>
                  <w:vAlign w:val="center"/>
                </w:tcPr>
                <w:p>
                  <w:pPr>
                    <w:topLinePunct/>
                    <w:adjustRightInd w:val="0"/>
                    <w:jc w:val="center"/>
                    <w:textAlignment w:val="center"/>
                    <w:rPr>
                      <w:rFonts w:hint="eastAsia" w:ascii="Times New Roman" w:hAnsi="Times New Roman" w:eastAsia="宋体" w:cs="Times New Roman"/>
                      <w:color w:val="000000" w:themeColor="text1"/>
                      <w:kern w:val="24"/>
                      <w:szCs w:val="21"/>
                      <w:highlight w:val="none"/>
                      <w14:textFill>
                        <w14:solidFill>
                          <w14:schemeClr w14:val="tx1"/>
                        </w14:solidFill>
                      </w14:textFill>
                    </w:rPr>
                  </w:pPr>
                </w:p>
              </w:tc>
              <w:tc>
                <w:tcPr>
                  <w:tcW w:w="821" w:type="pct"/>
                  <w:tcBorders>
                    <w:right w:val="single" w:color="auto" w:sz="4" w:space="0"/>
                  </w:tcBorders>
                  <w:vAlign w:val="center"/>
                </w:tcPr>
                <w:p>
                  <w:pPr>
                    <w:topLinePunct/>
                    <w:adjustRightInd w:val="0"/>
                    <w:jc w:val="center"/>
                    <w:textAlignment w:val="center"/>
                    <w:rPr>
                      <w:rFonts w:hint="eastAsia" w:ascii="Times New Roman" w:hAnsi="Times New Roman" w:eastAsia="宋体" w:cs="Times New Roman"/>
                      <w:color w:val="000000" w:themeColor="text1"/>
                      <w:kern w:val="24"/>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4"/>
                      <w:szCs w:val="21"/>
                      <w:highlight w:val="none"/>
                      <w:lang w:val="en-US" w:eastAsia="zh-CN"/>
                      <w14:textFill>
                        <w14:solidFill>
                          <w14:schemeClr w14:val="tx1"/>
                        </w14:solidFill>
                      </w14:textFill>
                    </w:rPr>
                    <w:t>北厂界</w:t>
                  </w:r>
                  <w:r>
                    <w:rPr>
                      <w:rFonts w:ascii="Times New Roman" w:hAnsi="Times New Roman" w:eastAsia="宋体" w:cs="Times New Roman"/>
                      <w:color w:val="000000" w:themeColor="text1"/>
                      <w:kern w:val="24"/>
                      <w:szCs w:val="21"/>
                      <w:highlight w:val="none"/>
                      <w14:textFill>
                        <w14:solidFill>
                          <w14:schemeClr w14:val="tx1"/>
                        </w14:solidFill>
                      </w14:textFill>
                    </w:rPr>
                    <w:t>噪声</w:t>
                  </w:r>
                </w:p>
              </w:tc>
              <w:tc>
                <w:tcPr>
                  <w:tcW w:w="2054" w:type="pct"/>
                  <w:vAlign w:val="center"/>
                </w:tcPr>
                <w:p>
                  <w:pPr>
                    <w:topLinePunct/>
                    <w:adjustRightInd w:val="0"/>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《工业企业厂界环境噪声排放标准》（GB12348-2008）中</w:t>
                  </w:r>
                  <w:r>
                    <w:rPr>
                      <w:rFonts w:hint="eastAsia" w:ascii="Times New Roman" w:hAnsi="Times New Roman" w:cs="Times New Roman"/>
                      <w:color w:val="000000" w:themeColor="text1"/>
                      <w:szCs w:val="21"/>
                      <w:highlight w:val="none"/>
                      <w:lang w:val="en-US" w:eastAsia="zh-CN"/>
                      <w14:textFill>
                        <w14:solidFill>
                          <w14:schemeClr w14:val="tx1"/>
                        </w14:solidFill>
                      </w14:textFill>
                    </w:rPr>
                    <w:t>4</w:t>
                  </w:r>
                  <w:r>
                    <w:rPr>
                      <w:rFonts w:ascii="Times New Roman" w:hAnsi="Times New Roman" w:cs="Times New Roman"/>
                      <w:color w:val="000000" w:themeColor="text1"/>
                      <w:szCs w:val="21"/>
                      <w:highlight w:val="none"/>
                      <w14:textFill>
                        <w14:solidFill>
                          <w14:schemeClr w14:val="tx1"/>
                        </w14:solidFill>
                      </w14:textFill>
                    </w:rPr>
                    <w:t>类标准</w:t>
                  </w:r>
                </w:p>
              </w:tc>
              <w:tc>
                <w:tcPr>
                  <w:tcW w:w="627" w:type="pct"/>
                  <w:vAlign w:val="center"/>
                </w:tcPr>
                <w:p>
                  <w:pPr>
                    <w:topLinePunct/>
                    <w:adjustRightIn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等效连续A声级</w:t>
                  </w:r>
                </w:p>
              </w:tc>
              <w:tc>
                <w:tcPr>
                  <w:tcW w:w="969" w:type="pct"/>
                  <w:vAlign w:val="center"/>
                </w:tcPr>
                <w:p>
                  <w:pPr>
                    <w:pStyle w:val="49"/>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昼间≤</w:t>
                  </w:r>
                  <w:r>
                    <w:rPr>
                      <w:rFonts w:hint="eastAsia"/>
                      <w:color w:val="000000" w:themeColor="text1"/>
                      <w:kern w:val="0"/>
                      <w:highlight w:val="none"/>
                      <w:lang w:val="en-US" w:eastAsia="zh-CN"/>
                      <w14:textFill>
                        <w14:solidFill>
                          <w14:schemeClr w14:val="tx1"/>
                        </w14:solidFill>
                      </w14:textFill>
                    </w:rPr>
                    <w:t>7</w:t>
                  </w:r>
                  <w:r>
                    <w:rPr>
                      <w:rFonts w:hint="eastAsia"/>
                      <w:color w:val="000000" w:themeColor="text1"/>
                      <w:kern w:val="0"/>
                      <w:highlight w:val="none"/>
                      <w14:textFill>
                        <w14:solidFill>
                          <w14:schemeClr w14:val="tx1"/>
                        </w14:solidFill>
                      </w14:textFill>
                    </w:rPr>
                    <w:t>0</w:t>
                  </w:r>
                  <w:r>
                    <w:rPr>
                      <w:color w:val="000000" w:themeColor="text1"/>
                      <w:highlight w:val="none"/>
                      <w14:textFill>
                        <w14:solidFill>
                          <w14:schemeClr w14:val="tx1"/>
                        </w14:solidFill>
                      </w14:textFill>
                    </w:rPr>
                    <w:t>dB(A)</w:t>
                  </w:r>
                </w:p>
                <w:p>
                  <w:pPr>
                    <w:topLinePunct/>
                    <w:adjustRightInd w:val="0"/>
                    <w:jc w:val="center"/>
                    <w:textAlignment w:val="center"/>
                    <w:rPr>
                      <w:rFonts w:ascii="Times New Roman" w:hAnsi="Times New Roman" w:eastAsia="宋体" w:cs="Times New Roman"/>
                      <w:color w:val="000000" w:themeColor="text1"/>
                      <w:kern w:val="0"/>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t>夜间≤</w:t>
                  </w:r>
                  <w:r>
                    <w:rPr>
                      <w:rFonts w:hint="eastAsia" w:ascii="Times New Roman" w:hAnsi="Times New Roman" w:eastAsia="宋体" w:cs="Times New Roman"/>
                      <w:color w:val="000000" w:themeColor="text1"/>
                      <w:kern w:val="0"/>
                      <w:highlight w:val="none"/>
                      <w14:textFill>
                        <w14:solidFill>
                          <w14:schemeClr w14:val="tx1"/>
                        </w14:solidFill>
                      </w14:textFill>
                    </w:rPr>
                    <w:t>5</w:t>
                  </w:r>
                  <w:r>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dB(A)</w:t>
                  </w:r>
                </w:p>
              </w:tc>
            </w:tr>
          </w:tbl>
          <w:p>
            <w:pPr>
              <w:adjustRightInd w:val="0"/>
              <w:snapToGrid w:val="0"/>
              <w:spacing w:line="360" w:lineRule="auto"/>
              <w:ind w:firstLine="482" w:firstLineChars="200"/>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 xml:space="preserve">  </w:t>
            </w:r>
          </w:p>
          <w:p>
            <w:pPr>
              <w:adjustRightInd w:val="0"/>
              <w:snapToGrid w:val="0"/>
              <w:spacing w:line="360" w:lineRule="auto"/>
              <w:ind w:firstLine="482" w:firstLineChars="200"/>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pPr>
          </w:p>
          <w:p>
            <w:pPr>
              <w:adjustRightInd w:val="0"/>
              <w:snapToGrid w:val="0"/>
              <w:spacing w:line="360" w:lineRule="auto"/>
              <w:ind w:firstLine="482" w:firstLineChars="200"/>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pPr>
          </w:p>
          <w:p>
            <w:pPr>
              <w:adjustRightInd w:val="0"/>
              <w:snapToGrid w:val="0"/>
              <w:spacing w:line="360" w:lineRule="auto"/>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p>
        </w:tc>
      </w:tr>
    </w:tbl>
    <w:p>
      <w:pPr>
        <w:adjustRightInd w:val="0"/>
        <w:snapToGrid w:val="0"/>
        <w:jc w:val="center"/>
        <w:rPr>
          <w:rFonts w:ascii="Times New Roman" w:hAnsi="Times New Roman" w:eastAsia="宋体" w:cs="Times New Roman"/>
          <w:color w:val="000000" w:themeColor="text1"/>
          <w:kern w:val="0"/>
          <w:sz w:val="24"/>
          <w:highlight w:val="none"/>
          <w:lang w:bidi="ar"/>
          <w14:textFill>
            <w14:solidFill>
              <w14:schemeClr w14:val="tx1"/>
            </w14:solidFill>
          </w14:textFill>
        </w:rPr>
        <w:sectPr>
          <w:pgSz w:w="11915" w:h="16840"/>
          <w:pgMar w:top="2127" w:right="1531" w:bottom="1702" w:left="1531" w:header="851" w:footer="851" w:gutter="0"/>
          <w:cols w:space="425" w:num="1"/>
          <w:docGrid w:type="lines" w:linePitch="312"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2" w:hRule="atLeast"/>
          <w:jc w:val="center"/>
        </w:trPr>
        <w:tc>
          <w:tcPr>
            <w:tcW w:w="438" w:type="dxa"/>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lang w:bidi="ar"/>
                <w14:textFill>
                  <w14:solidFill>
                    <w14:schemeClr w14:val="tx1"/>
                  </w14:solidFill>
                </w14:textFill>
              </w:rPr>
              <w:t>总量控制指标</w:t>
            </w:r>
          </w:p>
        </w:tc>
        <w:tc>
          <w:tcPr>
            <w:tcW w:w="8631"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w:t>
            </w:r>
            <w:r>
              <w:rPr>
                <w:rFonts w:hint="eastAsia" w:ascii="Times New Roman" w:hAnsi="Times New Roman" w:cs="Times New Roman"/>
                <w:color w:val="000000" w:themeColor="text1"/>
                <w:sz w:val="24"/>
                <w:highlight w:val="none"/>
                <w14:textFill>
                  <w14:solidFill>
                    <w14:schemeClr w14:val="tx1"/>
                  </w14:solidFill>
                </w14:textFill>
              </w:rPr>
              <w:t>项目无生活污水及生产</w:t>
            </w:r>
            <w:r>
              <w:rPr>
                <w:rFonts w:hint="eastAsia" w:ascii="Times New Roman" w:hAnsi="Times New Roman" w:cs="Times New Roman"/>
                <w:color w:val="000000" w:themeColor="text1"/>
                <w:sz w:val="24"/>
                <w:highlight w:val="none"/>
                <w:lang w:val="en-US" w:eastAsia="zh-CN"/>
                <w14:textFill>
                  <w14:solidFill>
                    <w14:schemeClr w14:val="tx1"/>
                  </w14:solidFill>
                </w14:textFill>
              </w:rPr>
              <w:t>废水</w:t>
            </w:r>
            <w:r>
              <w:rPr>
                <w:rFonts w:hint="eastAsia" w:ascii="Times New Roman" w:hAnsi="Times New Roman" w:cs="Times New Roman"/>
                <w:color w:val="000000" w:themeColor="text1"/>
                <w:sz w:val="24"/>
                <w:highlight w:val="none"/>
                <w14:textFill>
                  <w14:solidFill>
                    <w14:schemeClr w14:val="tx1"/>
                  </w14:solidFill>
                </w14:textFill>
              </w:rPr>
              <w:t>排放，</w:t>
            </w:r>
            <w:r>
              <w:rPr>
                <w:rFonts w:ascii="Times New Roman" w:hAnsi="Times New Roman" w:cs="Times New Roman"/>
                <w:color w:val="000000" w:themeColor="text1"/>
                <w:sz w:val="24"/>
                <w:highlight w:val="none"/>
                <w14:textFill>
                  <w14:solidFill>
                    <w14:schemeClr w14:val="tx1"/>
                  </w14:solidFill>
                </w14:textFill>
              </w:rPr>
              <w:t>因此不给出水污染物总量控制指标</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本项目给出</w:t>
            </w:r>
            <w:r>
              <w:rPr>
                <w:rFonts w:hint="eastAsia" w:ascii="Times New Roman" w:hAnsi="Times New Roman" w:cs="Times New Roman"/>
                <w:color w:val="000000" w:themeColor="text1"/>
                <w:sz w:val="24"/>
                <w:highlight w:val="none"/>
                <w14:textFill>
                  <w14:solidFill>
                    <w14:schemeClr w14:val="tx1"/>
                  </w14:solidFill>
                </w14:textFill>
              </w:rPr>
              <w:t>大气</w:t>
            </w:r>
            <w:r>
              <w:rPr>
                <w:rFonts w:ascii="Times New Roman" w:hAnsi="Times New Roman" w:cs="Times New Roman"/>
                <w:color w:val="000000" w:themeColor="text1"/>
                <w:sz w:val="24"/>
                <w:highlight w:val="none"/>
                <w14:textFill>
                  <w14:solidFill>
                    <w14:schemeClr w14:val="tx1"/>
                  </w14:solidFill>
                </w14:textFill>
              </w:rPr>
              <w:t>污染物总量控制指标</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二氧化硫：</w:t>
            </w:r>
            <w:r>
              <w:rPr>
                <w:rFonts w:hint="eastAsia" w:ascii="Times New Roman" w:hAnsi="Times New Roman" w:cs="Times New Roman"/>
                <w:color w:val="000000" w:themeColor="text1"/>
                <w:sz w:val="24"/>
                <w:highlight w:val="none"/>
                <w:lang w:val="en-US" w:eastAsia="zh-CN"/>
                <w14:textFill>
                  <w14:solidFill>
                    <w14:schemeClr w14:val="tx1"/>
                  </w14:solidFill>
                </w14:textFill>
              </w:rPr>
              <w:t>85.800t/a</w:t>
            </w:r>
            <w:r>
              <w:rPr>
                <w:rFonts w:hint="eastAsia" w:ascii="Times New Roman" w:hAnsi="Times New Roman" w:cs="Times New Roman"/>
                <w:color w:val="000000" w:themeColor="text1"/>
                <w:sz w:val="24"/>
                <w:highlight w:val="none"/>
                <w14:textFill>
                  <w14:solidFill>
                    <w14:schemeClr w14:val="tx1"/>
                  </w14:solidFill>
                </w14:textFill>
              </w:rPr>
              <w:t>；氮氧化物：</w:t>
            </w:r>
            <w:r>
              <w:rPr>
                <w:rFonts w:hint="eastAsia" w:ascii="Times New Roman" w:hAnsi="Times New Roman" w:cs="Times New Roman"/>
                <w:color w:val="000000" w:themeColor="text1"/>
                <w:sz w:val="24"/>
                <w:highlight w:val="none"/>
                <w:lang w:val="en-US" w:eastAsia="zh-CN"/>
                <w14:textFill>
                  <w14:solidFill>
                    <w14:schemeClr w14:val="tx1"/>
                  </w14:solidFill>
                </w14:textFill>
              </w:rPr>
              <w:t>102.960t/a</w:t>
            </w:r>
            <w:r>
              <w:rPr>
                <w:rFonts w:hint="eastAsia" w:ascii="Times New Roman" w:hAnsi="Times New Roman" w:cs="Times New Roman"/>
                <w:color w:val="000000" w:themeColor="text1"/>
                <w:sz w:val="24"/>
                <w:highlight w:val="none"/>
                <w14:textFill>
                  <w14:solidFill>
                    <w14:schemeClr w14:val="tx1"/>
                  </w14:solidFill>
                </w14:textFill>
              </w:rPr>
              <w:t>。项目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新增</w:t>
            </w:r>
            <w:r>
              <w:rPr>
                <w:rFonts w:hint="eastAsia" w:ascii="Times New Roman" w:hAnsi="Times New Roman" w:cs="Times New Roman"/>
                <w:color w:val="000000" w:themeColor="text1"/>
                <w:sz w:val="24"/>
                <w:highlight w:val="none"/>
                <w14:textFill>
                  <w14:solidFill>
                    <w14:schemeClr w14:val="tx1"/>
                  </w14:solidFill>
                </w14:textFill>
              </w:rPr>
              <w:t>主要污染物排放量核算过程如下所示：</w:t>
            </w:r>
          </w:p>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干燥机尾气大气污染物</w:t>
            </w:r>
            <w:r>
              <w:rPr>
                <w:rFonts w:hint="default" w:ascii="Times New Roman" w:hAnsi="Times New Roman" w:cs="Times New Roman"/>
                <w:color w:val="000000" w:themeColor="text1"/>
                <w:sz w:val="24"/>
                <w:highlight w:val="none"/>
                <w14:textFill>
                  <w14:solidFill>
                    <w14:schemeClr w14:val="tx1"/>
                  </w14:solidFill>
                </w14:textFill>
              </w:rPr>
              <w:t>排放量核算</w:t>
            </w:r>
            <w:r>
              <w:rPr>
                <w:rFonts w:hint="default" w:ascii="Times New Roman" w:hAnsi="Times New Roman" w:cs="Times New Roman"/>
                <w:color w:val="000000" w:themeColor="text1"/>
                <w:sz w:val="24"/>
                <w:highlight w:val="none"/>
                <w:lang w:eastAsia="zh-CN"/>
                <w14:textFill>
                  <w14:solidFill>
                    <w14:schemeClr w14:val="tx1"/>
                  </w14:solidFill>
                </w14:textFill>
              </w:rPr>
              <w:t>（标准值法）</w:t>
            </w:r>
          </w:p>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本项目热能中心以生物质为燃料，燃烧时会产生SO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、NOx。参考《排放源统计调查产排污核算方法和系数手册》4430 工业锅炉（热力生产和供应行业）产污系数表-生物质工业锅炉-层燃炉生物质散烧，工业废气量为6240标立方米/吨原料，生物质年用量68750t。根据</w:t>
            </w:r>
            <w:r>
              <w:rPr>
                <w:rFonts w:hint="eastAsia" w:ascii="Times New Roman" w:hAnsi="Times New Roman"/>
                <w:color w:val="000000" w:themeColor="text1"/>
                <w:sz w:val="24"/>
                <w:highlight w:val="none"/>
                <w:lang w:val="en-US" w:eastAsia="zh-CN"/>
                <w14:textFill>
                  <w14:solidFill>
                    <w14:schemeClr w14:val="tx1"/>
                  </w14:solidFill>
                </w14:textFill>
              </w:rPr>
              <w:t>《承德市工业炉窑综合治理实施方案》 及《大气污染物综合排放标准》 (GB16297-1996)表2新污染源大气污染物排放限值要求</w:t>
            </w:r>
            <w:r>
              <w:rPr>
                <w:rFonts w:hint="eastAsia" w:ascii="Times New Roman" w:hAnsi="Times New Roman" w:cs="Times New Roman"/>
                <w:color w:val="000000" w:themeColor="text1"/>
                <w:sz w:val="24"/>
                <w:highlight w:val="none"/>
                <w:lang w:val="en-US" w:eastAsia="zh-CN"/>
                <w14:textFill>
                  <w14:solidFill>
                    <w14:schemeClr w14:val="tx1"/>
                  </w14:solidFill>
                </w14:textFill>
              </w:rPr>
              <w:t>，二氧化硫排放浓度限值为200mg/m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，氮氧化物排放浓度限值为240mg/m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工业废气量=68750t/a×6240Nm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/t</w:t>
            </w:r>
            <w:r>
              <w:rPr>
                <w:rFonts w:hint="eastAsia" w:ascii="Times New Roman" w:hAnsi="Times New Roman" w:cs="Times New Roman"/>
                <w:color w:val="000000" w:themeColor="text1"/>
                <w:sz w:val="24"/>
                <w:highlight w:val="none"/>
                <w:lang w:val="en-US" w:eastAsia="zh-CN"/>
                <w14:textFill>
                  <w14:solidFill>
                    <w14:schemeClr w14:val="tx1"/>
                  </w14:solidFill>
                </w14:textFill>
              </w:rPr>
              <w:t>=429000000m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二氧化硫产生量=429000000m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/a×200mg/m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×10</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-9</w:t>
            </w:r>
            <w:r>
              <w:rPr>
                <w:rFonts w:hint="eastAsia" w:ascii="Times New Roman" w:hAnsi="Times New Roman" w:cs="Times New Roman"/>
                <w:color w:val="000000" w:themeColor="text1"/>
                <w:sz w:val="24"/>
                <w:highlight w:val="none"/>
                <w:lang w:val="en-US" w:eastAsia="zh-CN"/>
                <w14:textFill>
                  <w14:solidFill>
                    <w14:schemeClr w14:val="tx1"/>
                  </w14:solidFill>
                </w14:textFill>
              </w:rPr>
              <w:t>t/mg=85.800t/a；</w:t>
            </w:r>
          </w:p>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氮氧化物产生量=429000000m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/a×240mg/m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×10</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-9</w:t>
            </w:r>
            <w:r>
              <w:rPr>
                <w:rFonts w:hint="eastAsia" w:ascii="Times New Roman" w:hAnsi="Times New Roman" w:cs="Times New Roman"/>
                <w:color w:val="000000" w:themeColor="text1"/>
                <w:sz w:val="24"/>
                <w:highlight w:val="none"/>
                <w:lang w:val="en-US" w:eastAsia="zh-CN"/>
                <w14:textFill>
                  <w14:solidFill>
                    <w14:schemeClr w14:val="tx1"/>
                  </w14:solidFill>
                </w14:textFill>
              </w:rPr>
              <w:t>t/mg=102.960t/a；</w:t>
            </w:r>
          </w:p>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综上采用标准值法，</w:t>
            </w:r>
            <w:r>
              <w:rPr>
                <w:rFonts w:hint="default" w:ascii="Times New Roman" w:hAnsi="Times New Roman" w:cs="Times New Roman"/>
                <w:color w:val="000000" w:themeColor="text1"/>
                <w:sz w:val="24"/>
                <w:highlight w:val="none"/>
                <w:lang w:val="en-US" w:eastAsia="zh-CN"/>
                <w14:textFill>
                  <w14:solidFill>
                    <w14:schemeClr w14:val="tx1"/>
                  </w14:solidFill>
                </w14:textFill>
              </w:rPr>
              <w:t>二氧化硫产生量</w:t>
            </w:r>
            <w:r>
              <w:rPr>
                <w:rFonts w:hint="eastAsia" w:ascii="Times New Roman" w:hAnsi="Times New Roman" w:cs="Times New Roman"/>
                <w:color w:val="000000" w:themeColor="text1"/>
                <w:sz w:val="24"/>
                <w:highlight w:val="none"/>
                <w:lang w:val="en-US" w:eastAsia="zh-CN"/>
                <w14:textFill>
                  <w14:solidFill>
                    <w14:schemeClr w14:val="tx1"/>
                  </w14:solidFill>
                </w14:textFill>
              </w:rPr>
              <w:t>：85.800t/a</w:t>
            </w:r>
            <w:r>
              <w:rPr>
                <w:rFonts w:hint="default" w:ascii="Times New Roman" w:hAnsi="Times New Roman" w:cs="Times New Roman"/>
                <w:color w:val="000000" w:themeColor="text1"/>
                <w:sz w:val="24"/>
                <w:highlight w:val="none"/>
                <w:lang w:val="en-US" w:eastAsia="zh-CN"/>
                <w14:textFill>
                  <w14:solidFill>
                    <w14:schemeClr w14:val="tx1"/>
                  </w14:solidFill>
                </w14:textFill>
              </w:rPr>
              <w:t>；氮氧化物产生量</w:t>
            </w:r>
            <w:r>
              <w:rPr>
                <w:rFonts w:hint="eastAsia" w:ascii="Times New Roman" w:hAnsi="Times New Roman" w:cs="Times New Roman"/>
                <w:color w:val="000000" w:themeColor="text1"/>
                <w:sz w:val="24"/>
                <w:highlight w:val="none"/>
                <w:lang w:val="en-US" w:eastAsia="zh-CN"/>
                <w14:textFill>
                  <w14:solidFill>
                    <w14:schemeClr w14:val="tx1"/>
                  </w14:solidFill>
                </w14:textFill>
              </w:rPr>
              <w:t>：102.960t/a。</w:t>
            </w:r>
          </w:p>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项目SO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、NOx排放标准变更后，总量控制指标</w:t>
            </w:r>
            <w:r>
              <w:rPr>
                <w:rFonts w:hint="eastAsia" w:ascii="宋体" w:hAnsi="宋体" w:eastAsia="宋体" w:cs="宋体"/>
                <w:color w:val="000000" w:themeColor="text1"/>
                <w:sz w:val="24"/>
                <w:highlight w:val="none"/>
                <w:lang w:val="en-US" w:eastAsia="zh-CN"/>
                <w14:textFill>
                  <w14:solidFill>
                    <w14:schemeClr w14:val="tx1"/>
                  </w14:solidFill>
                </w14:textFill>
              </w:rPr>
              <w:t>变化</w:t>
            </w:r>
            <w:r>
              <w:rPr>
                <w:rFonts w:ascii="Times New Roman" w:hAnsi="Times New Roman" w:cs="Times New Roman"/>
                <w:color w:val="000000" w:themeColor="text1"/>
                <w:sz w:val="24"/>
                <w:highlight w:val="none"/>
                <w14:textFill>
                  <w14:solidFill>
                    <w14:schemeClr w14:val="tx1"/>
                  </w14:solidFill>
                </w14:textFill>
              </w:rPr>
              <w:t>情况如下：</w:t>
            </w:r>
          </w:p>
          <w:p>
            <w:pPr>
              <w:snapToGrid w:val="0"/>
              <w:spacing w:line="360" w:lineRule="auto"/>
              <w:ind w:firstLine="422" w:firstLineChars="20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3-9</w:t>
            </w:r>
            <w:r>
              <w:rPr>
                <w:rFonts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总量控制指标变化</w:t>
            </w:r>
            <w:r>
              <w:rPr>
                <w:rFonts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情况</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w:t>
            </w:r>
            <w:r>
              <w:rPr>
                <w:rFonts w:ascii="Times New Roman" w:hAnsi="Times New Roman" w:eastAsia="宋体" w:cs="Times New Roman"/>
                <w:b/>
                <w:bCs/>
                <w:color w:val="000000" w:themeColor="text1"/>
                <w:szCs w:val="21"/>
                <w:highlight w:val="none"/>
                <w14:textFill>
                  <w14:solidFill>
                    <w14:schemeClr w14:val="tx1"/>
                  </w14:solidFill>
                </w14:textFill>
              </w:rPr>
              <w:t xml:space="preserve">   单位:t/a</w:t>
            </w:r>
          </w:p>
          <w:tbl>
            <w:tblPr>
              <w:tblStyle w:val="22"/>
              <w:tblW w:w="4998" w:type="pct"/>
              <w:jc w:val="center"/>
              <w:tblLayout w:type="autofit"/>
              <w:tblCellMar>
                <w:top w:w="0" w:type="dxa"/>
                <w:left w:w="108" w:type="dxa"/>
                <w:bottom w:w="0" w:type="dxa"/>
                <w:right w:w="108" w:type="dxa"/>
              </w:tblCellMar>
            </w:tblPr>
            <w:tblGrid>
              <w:gridCol w:w="1406"/>
              <w:gridCol w:w="1426"/>
              <w:gridCol w:w="1772"/>
              <w:gridCol w:w="1895"/>
              <w:gridCol w:w="1895"/>
            </w:tblGrid>
            <w:tr>
              <w:tblPrEx>
                <w:tblCellMar>
                  <w:top w:w="0" w:type="dxa"/>
                  <w:left w:w="108" w:type="dxa"/>
                  <w:bottom w:w="0" w:type="dxa"/>
                  <w:right w:w="108" w:type="dxa"/>
                </w:tblCellMar>
              </w:tblPrEx>
              <w:trPr>
                <w:cantSplit/>
                <w:trHeight w:val="397" w:hRule="atLeast"/>
                <w:jc w:val="center"/>
              </w:trPr>
              <w:tc>
                <w:tcPr>
                  <w:tcW w:w="83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污染类别</w:t>
                  </w:r>
                </w:p>
              </w:tc>
              <w:tc>
                <w:tcPr>
                  <w:tcW w:w="84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污染物</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已取得</w:t>
                  </w:r>
                  <w:r>
                    <w:rPr>
                      <w:rFonts w:ascii="Times New Roman" w:hAnsi="Times New Roman" w:cs="Times New Roman"/>
                      <w:b/>
                      <w:bCs/>
                      <w:color w:val="000000" w:themeColor="text1"/>
                      <w:szCs w:val="21"/>
                      <w:highlight w:val="none"/>
                      <w14:textFill>
                        <w14:solidFill>
                          <w14:schemeClr w14:val="tx1"/>
                        </w14:solidFill>
                      </w14:textFill>
                    </w:rPr>
                    <w:t>排放量</w:t>
                  </w:r>
                </w:p>
              </w:tc>
              <w:tc>
                <w:tcPr>
                  <w:tcW w:w="112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技改后总</w:t>
                  </w:r>
                  <w:r>
                    <w:rPr>
                      <w:rFonts w:ascii="Times New Roman" w:hAnsi="Times New Roman" w:cs="Times New Roman"/>
                      <w:b/>
                      <w:bCs/>
                      <w:color w:val="000000" w:themeColor="text1"/>
                      <w:szCs w:val="21"/>
                      <w:highlight w:val="none"/>
                      <w14:textFill>
                        <w14:solidFill>
                          <w14:schemeClr w14:val="tx1"/>
                        </w14:solidFill>
                      </w14:textFill>
                    </w:rPr>
                    <w:t>排放量</w:t>
                  </w:r>
                </w:p>
              </w:tc>
              <w:tc>
                <w:tcPr>
                  <w:tcW w:w="112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总</w:t>
                  </w:r>
                  <w:r>
                    <w:rPr>
                      <w:rFonts w:ascii="Times New Roman" w:hAnsi="Times New Roman" w:cs="Times New Roman"/>
                      <w:b/>
                      <w:bCs/>
                      <w:color w:val="000000" w:themeColor="text1"/>
                      <w:szCs w:val="21"/>
                      <w:highlight w:val="none"/>
                      <w14:textFill>
                        <w14:solidFill>
                          <w14:schemeClr w14:val="tx1"/>
                        </w14:solidFill>
                      </w14:textFill>
                    </w:rPr>
                    <w:t>排放增减量</w:t>
                  </w:r>
                </w:p>
              </w:tc>
            </w:tr>
            <w:tr>
              <w:tblPrEx>
                <w:tblCellMar>
                  <w:top w:w="0" w:type="dxa"/>
                  <w:left w:w="108" w:type="dxa"/>
                  <w:bottom w:w="0" w:type="dxa"/>
                  <w:right w:w="108" w:type="dxa"/>
                </w:tblCellMar>
              </w:tblPrEx>
              <w:trPr>
                <w:cantSplit/>
                <w:trHeight w:val="397" w:hRule="atLeast"/>
                <w:jc w:val="center"/>
              </w:trPr>
              <w:tc>
                <w:tcPr>
                  <w:tcW w:w="837" w:type="pct"/>
                  <w:vMerge w:val="restart"/>
                  <w:tcBorders>
                    <w:top w:val="single" w:color="auto" w:sz="4" w:space="0"/>
                    <w:left w:val="single" w:color="auto" w:sz="4" w:space="0"/>
                    <w:bottom w:val="single" w:color="auto" w:sz="4" w:space="0"/>
                    <w:right w:val="single" w:color="auto" w:sz="4" w:space="0"/>
                  </w:tcBorders>
                  <w:vAlign w:val="center"/>
                </w:tcPr>
                <w:p>
                  <w:pPr>
                    <w:topLinePunct/>
                    <w:adjustRightInd w:val="0"/>
                    <w:spacing w:line="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废气</w:t>
                  </w:r>
                </w:p>
              </w:tc>
              <w:tc>
                <w:tcPr>
                  <w:tcW w:w="849" w:type="pct"/>
                  <w:tcBorders>
                    <w:top w:val="single" w:color="auto" w:sz="4" w:space="0"/>
                    <w:left w:val="single" w:color="auto" w:sz="4" w:space="0"/>
                    <w:bottom w:val="single" w:color="auto" w:sz="4" w:space="0"/>
                    <w:right w:val="single" w:color="auto" w:sz="4" w:space="0"/>
                  </w:tcBorders>
                  <w:vAlign w:val="center"/>
                </w:tcPr>
                <w:p>
                  <w:pPr>
                    <w:topLinePunct/>
                    <w:adjustRightInd w:val="0"/>
                    <w:spacing w:line="0" w:lineRule="atLeast"/>
                    <w:jc w:val="center"/>
                    <w:textAlignment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SO</w:t>
                  </w:r>
                  <w:r>
                    <w:rPr>
                      <w:rFonts w:ascii="Times New Roman" w:hAnsi="Times New Roman" w:cs="Times New Roman"/>
                      <w:color w:val="000000" w:themeColor="text1"/>
                      <w:szCs w:val="21"/>
                      <w:highlight w:val="none"/>
                      <w:vertAlign w:val="subscript"/>
                      <w14:textFill>
                        <w14:solidFill>
                          <w14:schemeClr w14:val="tx1"/>
                        </w14:solidFill>
                      </w14:textFill>
                    </w:rPr>
                    <w:t>2</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26.030</w:t>
                  </w:r>
                </w:p>
              </w:tc>
              <w:tc>
                <w:tcPr>
                  <w:tcW w:w="1128"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85.800</w:t>
                  </w:r>
                </w:p>
              </w:tc>
              <w:tc>
                <w:tcPr>
                  <w:tcW w:w="112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+59.770</w:t>
                  </w:r>
                </w:p>
              </w:tc>
            </w:tr>
            <w:tr>
              <w:tblPrEx>
                <w:tblCellMar>
                  <w:top w:w="0" w:type="dxa"/>
                  <w:left w:w="108" w:type="dxa"/>
                  <w:bottom w:w="0" w:type="dxa"/>
                  <w:right w:w="108" w:type="dxa"/>
                </w:tblCellMar>
              </w:tblPrEx>
              <w:trPr>
                <w:cantSplit/>
                <w:trHeight w:val="397" w:hRule="atLeast"/>
                <w:jc w:val="center"/>
              </w:trPr>
              <w:tc>
                <w:tcPr>
                  <w:tcW w:w="837"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pacing w:line="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p>
              </w:tc>
              <w:tc>
                <w:tcPr>
                  <w:tcW w:w="849" w:type="pct"/>
                  <w:tcBorders>
                    <w:top w:val="single" w:color="auto" w:sz="4" w:space="0"/>
                    <w:left w:val="single" w:color="auto" w:sz="4" w:space="0"/>
                    <w:bottom w:val="single" w:color="auto" w:sz="4" w:space="0"/>
                    <w:right w:val="single" w:color="auto" w:sz="4" w:space="0"/>
                  </w:tcBorders>
                  <w:vAlign w:val="center"/>
                </w:tcPr>
                <w:p>
                  <w:pPr>
                    <w:topLinePunct/>
                    <w:adjustRightInd w:val="0"/>
                    <w:spacing w:line="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NOx</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55.800</w:t>
                  </w:r>
                </w:p>
              </w:tc>
              <w:tc>
                <w:tcPr>
                  <w:tcW w:w="1128"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102.960</w:t>
                  </w:r>
                </w:p>
              </w:tc>
              <w:tc>
                <w:tcPr>
                  <w:tcW w:w="112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+47.160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根据</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承德森禧木业有限公司</w:t>
            </w:r>
            <w:r>
              <w:rPr>
                <w:rFonts w:hint="eastAsia" w:ascii="Times New Roman" w:hAnsi="Times New Roman" w:eastAsia="宋体" w:cs="Times New Roman"/>
                <w:color w:val="000000" w:themeColor="text1"/>
                <w:kern w:val="0"/>
                <w:sz w:val="24"/>
                <w:highlight w:val="none"/>
                <w14:textFill>
                  <w14:solidFill>
                    <w14:schemeClr w14:val="tx1"/>
                  </w14:solidFill>
                </w14:textFill>
              </w:rPr>
              <w:t>202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kern w:val="0"/>
                <w:sz w:val="24"/>
                <w:highlight w:val="none"/>
                <w14:textFill>
                  <w14:solidFill>
                    <w14:schemeClr w14:val="tx1"/>
                  </w14:solidFill>
                </w14:textFill>
              </w:rPr>
              <w:t>年</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总量交易文件</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德森禧木业有限公司</w:t>
            </w:r>
            <w:r>
              <w:rPr>
                <w:rFonts w:hint="eastAsia" w:ascii="Times New Roman" w:hAnsi="Times New Roman" w:eastAsia="宋体" w:cs="Times New Roman"/>
                <w:color w:val="000000" w:themeColor="text1"/>
                <w:kern w:val="0"/>
                <w:sz w:val="24"/>
                <w:highlight w:val="none"/>
                <w14:textFill>
                  <w14:solidFill>
                    <w14:schemeClr w14:val="tx1"/>
                  </w14:solidFill>
                </w14:textFill>
              </w:rPr>
              <w:t>有偿获得排放量：二氧化硫</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26.030</w:t>
            </w:r>
            <w:r>
              <w:rPr>
                <w:rFonts w:hint="eastAsia" w:ascii="Times New Roman" w:hAnsi="Times New Roman" w:eastAsia="宋体" w:cs="Times New Roman"/>
                <w:color w:val="000000" w:themeColor="text1"/>
                <w:kern w:val="0"/>
                <w:sz w:val="24"/>
                <w:highlight w:val="none"/>
                <w14:textFill>
                  <w14:solidFill>
                    <w14:schemeClr w14:val="tx1"/>
                  </w14:solidFill>
                </w14:textFill>
              </w:rPr>
              <w:t>t/a、氮氧化物</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55.800</w:t>
            </w:r>
            <w:r>
              <w:rPr>
                <w:rFonts w:hint="eastAsia" w:ascii="Times New Roman" w:hAnsi="Times New Roman" w:eastAsia="宋体" w:cs="Times New Roman"/>
                <w:color w:val="000000" w:themeColor="text1"/>
                <w:kern w:val="0"/>
                <w:sz w:val="24"/>
                <w:highlight w:val="none"/>
                <w14:textFill>
                  <w14:solidFill>
                    <w14:schemeClr w14:val="tx1"/>
                  </w14:solidFill>
                </w14:textFill>
              </w:rPr>
              <w:t>t/a</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本项目二氧化硫新增排放量59.770t/a，氮氧化物新增排放量47.160t/a。本项目技改完成后全厂排放总量为二氧化硫：85.800t/a，氮氧化物：102.960t/a。</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p>
          <w:p>
            <w:pPr>
              <w:adjustRightInd w:val="0"/>
              <w:snapToGrid w:val="0"/>
              <w:spacing w:line="360" w:lineRule="auto"/>
              <w:rPr>
                <w:rFonts w:ascii="Times New Roman" w:hAnsi="Times New Roman" w:eastAsia="宋体" w:cs="Times New Roman"/>
                <w:color w:val="000000" w:themeColor="text1"/>
                <w:kern w:val="0"/>
                <w:sz w:val="24"/>
                <w:highlight w:val="none"/>
                <w14:textFill>
                  <w14:solidFill>
                    <w14:schemeClr w14:val="tx1"/>
                  </w14:solidFill>
                </w14:textFill>
              </w:rPr>
            </w:pPr>
          </w:p>
          <w:p>
            <w:pPr>
              <w:adjustRightInd w:val="0"/>
              <w:snapToGrid w:val="0"/>
              <w:spacing w:line="360" w:lineRule="auto"/>
              <w:rPr>
                <w:rFonts w:ascii="Times New Roman" w:hAnsi="Times New Roman" w:eastAsia="宋体" w:cs="Times New Roman"/>
                <w:color w:val="000000" w:themeColor="text1"/>
                <w:kern w:val="0"/>
                <w:sz w:val="24"/>
                <w:highlight w:val="none"/>
                <w14:textFill>
                  <w14:solidFill>
                    <w14:schemeClr w14:val="tx1"/>
                  </w14:solidFill>
                </w14:textFill>
              </w:rPr>
            </w:pPr>
          </w:p>
        </w:tc>
      </w:tr>
    </w:tbl>
    <w:p>
      <w:pPr>
        <w:pStyle w:val="17"/>
        <w:spacing w:before="100" w:after="100"/>
        <w:rPr>
          <w:rFonts w:hint="default" w:ascii="Times New Roman" w:hAnsi="Times New Roman"/>
          <w:snapToGrid w:val="0"/>
          <w:color w:val="000000" w:themeColor="text1"/>
          <w:szCs w:val="24"/>
          <w:highlight w:val="none"/>
          <w:lang w:bidi="ar"/>
          <w14:textFill>
            <w14:solidFill>
              <w14:schemeClr w14:val="tx1"/>
            </w14:solidFill>
          </w14:textFill>
        </w:rPr>
        <w:sectPr>
          <w:pgSz w:w="11915" w:h="16840"/>
          <w:pgMar w:top="2127" w:right="1531" w:bottom="1702" w:left="1531" w:header="851" w:footer="851" w:gutter="0"/>
          <w:cols w:space="425" w:num="1"/>
          <w:docGrid w:type="lines" w:linePitch="312" w:charSpace="0"/>
        </w:sectPr>
      </w:pPr>
    </w:p>
    <w:p>
      <w:pPr>
        <w:pStyle w:val="17"/>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四、主要环境影响和保护措施</w:t>
      </w:r>
    </w:p>
    <w:tbl>
      <w:tblPr>
        <w:tblStyle w:val="22"/>
        <w:tblW w:w="89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0"/>
        <w:gridCol w:w="86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310"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7"/>
              <w:adjustRightInd w:val="0"/>
              <w:snapToGrid w:val="0"/>
              <w:spacing w:beforeAutospacing="0" w:afterAutospacing="0"/>
              <w:jc w:val="center"/>
              <w:rPr>
                <w:rFonts w:hint="default" w:ascii="Times New Roman" w:hAnsi="Times New Roman"/>
                <w:bCs/>
                <w:color w:val="000000" w:themeColor="text1"/>
                <w:kern w:val="2"/>
                <w:szCs w:val="24"/>
                <w:highlight w:val="none"/>
                <w14:textFill>
                  <w14:solidFill>
                    <w14:schemeClr w14:val="tx1"/>
                  </w14:solidFill>
                </w14:textFill>
              </w:rPr>
            </w:pPr>
            <w:r>
              <w:rPr>
                <w:rFonts w:hint="default" w:ascii="Times New Roman" w:hAnsi="Times New Roman"/>
                <w:color w:val="000000" w:themeColor="text1"/>
                <w:kern w:val="2"/>
                <w:szCs w:val="24"/>
                <w:highlight w:val="none"/>
                <w14:textFill>
                  <w14:solidFill>
                    <w14:schemeClr w14:val="tx1"/>
                  </w14:solidFill>
                </w14:textFill>
              </w:rPr>
              <w:t>施工期环境保护措施</w:t>
            </w:r>
          </w:p>
        </w:tc>
        <w:tc>
          <w:tcPr>
            <w:tcW w:w="8679"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施工期环境影响保护措施：</w:t>
            </w:r>
          </w:p>
          <w:p>
            <w:pPr>
              <w:spacing w:line="360"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b/>
                <w:bCs/>
                <w:color w:val="000000" w:themeColor="text1"/>
                <w:sz w:val="24"/>
                <w:highlight w:val="none"/>
                <w14:textFill>
                  <w14:solidFill>
                    <w14:schemeClr w14:val="tx1"/>
                  </w14:solidFill>
                </w14:textFill>
              </w:rPr>
              <w:t>1</w:t>
            </w:r>
            <w:r>
              <w:rPr>
                <w:rFonts w:hint="eastAsia" w:ascii="Times New Roman" w:hAnsi="Times New Roman" w:eastAsia="宋体"/>
                <w:b/>
                <w:bCs/>
                <w:color w:val="000000" w:themeColor="text1"/>
                <w:sz w:val="24"/>
                <w:highlight w:val="none"/>
                <w14:textFill>
                  <w14:solidFill>
                    <w14:schemeClr w14:val="tx1"/>
                  </w14:solidFill>
                </w14:textFill>
              </w:rPr>
              <w:t>、</w:t>
            </w:r>
            <w:r>
              <w:rPr>
                <w:rFonts w:ascii="Times New Roman" w:hAnsi="Times New Roman" w:eastAsia="宋体"/>
                <w:b/>
                <w:bCs/>
                <w:color w:val="000000" w:themeColor="text1"/>
                <w:sz w:val="24"/>
                <w:highlight w:val="none"/>
                <w14:textFill>
                  <w14:solidFill>
                    <w14:schemeClr w14:val="tx1"/>
                  </w14:solidFill>
                </w14:textFill>
              </w:rPr>
              <w:t>大气环境</w:t>
            </w:r>
            <w:r>
              <w:rPr>
                <w:rFonts w:hint="eastAsia" w:ascii="Times New Roman" w:hAnsi="Times New Roman" w:eastAsia="宋体"/>
                <w:b/>
                <w:bCs/>
                <w:color w:val="000000" w:themeColor="text1"/>
                <w:sz w:val="24"/>
                <w:highlight w:val="none"/>
                <w14:textFill>
                  <w14:solidFill>
                    <w14:schemeClr w14:val="tx1"/>
                  </w14:solidFill>
                </w14:textFill>
              </w:rPr>
              <w:t>保护措施</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施工期大气污染物主要为</w:t>
            </w:r>
            <w:r>
              <w:rPr>
                <w:rFonts w:ascii="Times New Roman" w:hAnsi="Times New Roman" w:cs="Times New Roman"/>
                <w:color w:val="000000" w:themeColor="text1"/>
                <w:sz w:val="24"/>
                <w:highlight w:val="none"/>
                <w14:textFill>
                  <w14:solidFill>
                    <w14:schemeClr w14:val="tx1"/>
                  </w14:solidFill>
                </w14:textFill>
              </w:rPr>
              <w:t>拆除</w:t>
            </w:r>
            <w:r>
              <w:rPr>
                <w:rFonts w:hint="eastAsia" w:ascii="Times New Roman" w:hAnsi="Times New Roman" w:cs="Times New Roman"/>
                <w:color w:val="000000" w:themeColor="text1"/>
                <w:sz w:val="24"/>
                <w:highlight w:val="none"/>
                <w:lang w:val="en-US" w:eastAsia="zh-CN"/>
                <w14:textFill>
                  <w14:solidFill>
                    <w14:schemeClr w14:val="tx1"/>
                  </w14:solidFill>
                </w14:textFill>
              </w:rPr>
              <w:t>原</w:t>
            </w:r>
            <w:r>
              <w:rPr>
                <w:rFonts w:ascii="Times New Roman" w:hAnsi="Times New Roman" w:cs="Times New Roman"/>
                <w:color w:val="000000" w:themeColor="text1"/>
                <w:sz w:val="24"/>
                <w:highlight w:val="none"/>
                <w14:textFill>
                  <w14:solidFill>
                    <w14:schemeClr w14:val="tx1"/>
                  </w14:solidFill>
                </w14:textFill>
              </w:rPr>
              <w:t>设备、</w:t>
            </w:r>
            <w:r>
              <w:rPr>
                <w:rFonts w:hint="eastAsia" w:ascii="Times New Roman" w:hAnsi="Times New Roman" w:cs="Times New Roman"/>
                <w:color w:val="000000" w:themeColor="text1"/>
                <w:sz w:val="24"/>
                <w:highlight w:val="none"/>
                <w:lang w:val="en-US" w:eastAsia="zh-CN"/>
                <w14:textFill>
                  <w14:solidFill>
                    <w14:schemeClr w14:val="tx1"/>
                  </w14:solidFill>
                </w14:textFill>
              </w:rPr>
              <w:t>设备基础</w:t>
            </w:r>
            <w:r>
              <w:rPr>
                <w:rFonts w:ascii="Times New Roman" w:hAnsi="Times New Roman" w:cs="Times New Roman"/>
                <w:color w:val="000000" w:themeColor="text1"/>
                <w:sz w:val="24"/>
                <w:highlight w:val="none"/>
                <w14:textFill>
                  <w14:solidFill>
                    <w14:schemeClr w14:val="tx1"/>
                  </w14:solidFill>
                </w14:textFill>
              </w:rPr>
              <w:t>施工、设备安装、表面修整、现场清理等</w:t>
            </w:r>
            <w:r>
              <w:rPr>
                <w:rFonts w:hint="eastAsia" w:ascii="Times New Roman" w:hAnsi="Times New Roman" w:eastAsia="宋体" w:cs="Times New Roman"/>
                <w:color w:val="000000" w:themeColor="text1"/>
                <w:sz w:val="24"/>
                <w:highlight w:val="none"/>
                <w14:textFill>
                  <w14:solidFill>
                    <w14:schemeClr w14:val="tx1"/>
                  </w14:solidFill>
                </w14:textFill>
              </w:rPr>
              <w:t>过程</w:t>
            </w:r>
            <w:r>
              <w:rPr>
                <w:rFonts w:ascii="Times New Roman" w:hAnsi="Times New Roman" w:eastAsia="宋体" w:cs="Times New Roman"/>
                <w:color w:val="000000" w:themeColor="text1"/>
                <w:sz w:val="24"/>
                <w:highlight w:val="none"/>
                <w14:textFill>
                  <w14:solidFill>
                    <w14:schemeClr w14:val="tx1"/>
                  </w14:solidFill>
                </w14:textFill>
              </w:rPr>
              <w:t>产生的扬尘。</w:t>
            </w:r>
            <w:r>
              <w:rPr>
                <w:rFonts w:ascii="Times New Roman" w:hAnsi="Times New Roman" w:cs="Times New Roman"/>
                <w:color w:val="000000" w:themeColor="text1"/>
                <w:sz w:val="24"/>
                <w:highlight w:val="none"/>
                <w14:textFill>
                  <w14:solidFill>
                    <w14:schemeClr w14:val="tx1"/>
                  </w14:solidFill>
                </w14:textFill>
              </w:rPr>
              <w:t>建设过程中严格落实《河北省扬尘污染防治办法》、《河北省建筑施工扬尘防治强化措施18条》及《承德市人民政府办公室关于印发承德市建筑施工现场管理暂行办法的通知》（承市政办字[2010]150号）相关要求，主要通过采取以下措施降低扬尘产生量</w:t>
            </w:r>
            <w:r>
              <w:rPr>
                <w:rFonts w:hint="eastAsia" w:ascii="Times New Roman" w:hAnsi="Times New Roman" w:eastAsia="宋体"/>
                <w:color w:val="000000" w:themeColor="text1"/>
                <w:sz w:val="24"/>
                <w:highlight w:val="none"/>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①在施工现场周边设置硬质封闭围挡或者围墙，高度不低于1.8米，并在围挡底端设置不低于0.2米的防溢座；</w:t>
            </w:r>
          </w:p>
          <w:p>
            <w:pPr>
              <w:spacing w:line="360" w:lineRule="auto"/>
              <w:ind w:firstLine="480" w:firstLineChars="200"/>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②建筑材料、设备的运输及建筑垃圾清运过程中，运输车辆减速慢行，运输建筑垃圾采用蓬布遮盖，以避免沿途洒落，对运输道路及时进行清扫，减少运输扬尘</w:t>
            </w:r>
            <w:r>
              <w:rPr>
                <w:rFonts w:hint="eastAsia" w:ascii="Times New Roman" w:hAnsi="Times New Roman" w:cs="Times New Roman"/>
                <w:color w:val="000000" w:themeColor="text1"/>
                <w:sz w:val="24"/>
                <w:highlight w:val="none"/>
                <w:lang w:eastAsia="zh-CN"/>
                <w14:textFill>
                  <w14:solidFill>
                    <w14:schemeClr w14:val="tx1"/>
                  </w14:solidFill>
                </w14:textFill>
              </w:rPr>
              <w:t>；</w:t>
            </w:r>
          </w:p>
          <w:p>
            <w:pPr>
              <w:spacing w:line="360" w:lineRule="auto"/>
              <w:ind w:firstLine="480" w:firstLineChars="200"/>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③</w:t>
            </w:r>
            <w:r>
              <w:rPr>
                <w:rFonts w:hint="default" w:ascii="Times New Roman" w:hAnsi="Times New Roman" w:cs="Times New Roman"/>
                <w:color w:val="000000" w:themeColor="text1"/>
                <w:sz w:val="24"/>
                <w:highlight w:val="none"/>
                <w14:textFill>
                  <w14:solidFill>
                    <w14:schemeClr w14:val="tx1"/>
                  </w14:solidFill>
                </w14:textFill>
              </w:rPr>
              <w:t>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r>
              <w:rPr>
                <w:rFonts w:hint="eastAsia" w:ascii="Times New Roman" w:hAnsi="Times New Roman" w:cs="Times New Roman"/>
                <w:color w:val="000000" w:themeColor="text1"/>
                <w:sz w:val="24"/>
                <w:highlight w:val="none"/>
                <w:lang w:eastAsia="zh-CN"/>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④</w:t>
            </w:r>
            <w:r>
              <w:rPr>
                <w:rFonts w:hint="default" w:ascii="Times New Roman" w:hAnsi="Times New Roman" w:cs="Times New Roman"/>
                <w:color w:val="000000" w:themeColor="text1"/>
                <w:sz w:val="24"/>
                <w:highlight w:val="none"/>
                <w14:textFill>
                  <w14:solidFill>
                    <w14:schemeClr w14:val="tx1"/>
                  </w14:solidFill>
                </w14:textFill>
              </w:rPr>
              <w:t>土地挖掘、平整及施工建设过程中采用洒水措施，及时向易产生扬尘的施工场地、路面洒水，每天洒水次数不低于2次，大风天增加洒水量及洒水次数，减少扬尘产生</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⑤</w:t>
            </w:r>
            <w:r>
              <w:rPr>
                <w:rFonts w:hint="default" w:ascii="Times New Roman" w:hAnsi="Times New Roman" w:cs="Times New Roman"/>
                <w:color w:val="000000" w:themeColor="text1"/>
                <w:sz w:val="24"/>
                <w:highlight w:val="none"/>
                <w14:textFill>
                  <w14:solidFill>
                    <w14:schemeClr w14:val="tx1"/>
                  </w14:solidFill>
                </w14:textFill>
              </w:rPr>
              <w:t>对施工现场出入口、场内施工道路、材料加工堆放区进行硬化处理，并保持地面整洁；</w:t>
            </w: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项目施工期主要为旧设备拆除，新设备安装，基建工程较少，</w:t>
            </w:r>
            <w:r>
              <w:rPr>
                <w:rFonts w:ascii="Times New Roman" w:hAnsi="Times New Roman" w:cs="Times New Roman"/>
                <w:color w:val="000000" w:themeColor="text1"/>
                <w:sz w:val="24"/>
                <w:highlight w:val="none"/>
                <w14:textFill>
                  <w14:solidFill>
                    <w14:schemeClr w14:val="tx1"/>
                  </w14:solidFill>
                </w14:textFill>
              </w:rPr>
              <w:t>通过采取上述措施，工程施工场地下风向PM</w:t>
            </w:r>
            <w:r>
              <w:rPr>
                <w:rFonts w:ascii="Times New Roman" w:hAnsi="Times New Roman" w:cs="Times New Roman"/>
                <w:color w:val="000000" w:themeColor="text1"/>
                <w:sz w:val="24"/>
                <w:highlight w:val="none"/>
                <w:vertAlign w:val="subscript"/>
                <w14:textFill>
                  <w14:solidFill>
                    <w14:schemeClr w14:val="tx1"/>
                  </w14:solidFill>
                </w14:textFill>
              </w:rPr>
              <w:t>10</w:t>
            </w:r>
            <w:r>
              <w:rPr>
                <w:rFonts w:ascii="Times New Roman" w:hAnsi="Times New Roman" w:cs="Times New Roman"/>
                <w:color w:val="000000" w:themeColor="text1"/>
                <w:sz w:val="24"/>
                <w:highlight w:val="none"/>
                <w14:textFill>
                  <w14:solidFill>
                    <w14:schemeClr w14:val="tx1"/>
                  </w14:solidFill>
                </w14:textFill>
              </w:rPr>
              <w:t>贡献浓度可控制在80</w:t>
            </w:r>
            <w:r>
              <w:rPr>
                <w:rFonts w:hint="default" w:ascii="Times New Roman" w:hAnsi="Times New Roman" w:cs="Times New Roman"/>
                <w:color w:val="000000" w:themeColor="text1"/>
                <w:sz w:val="24"/>
                <w:highlight w:val="none"/>
                <w:lang w:val="en-US" w:eastAsia="zh-CN"/>
                <w14:textFill>
                  <w14:solidFill>
                    <w14:schemeClr w14:val="tx1"/>
                  </w14:solidFill>
                </w14:textFill>
              </w:rPr>
              <w:t>μ</w:t>
            </w:r>
            <w:r>
              <w:rPr>
                <w:rFonts w:ascii="Times New Roman" w:hAnsi="Times New Roman" w:cs="Times New Roman"/>
                <w:color w:val="000000" w:themeColor="text1"/>
                <w:sz w:val="24"/>
                <w:highlight w:val="none"/>
                <w14:textFill>
                  <w14:solidFill>
                    <w14:schemeClr w14:val="tx1"/>
                  </w14:solidFill>
                </w14:textFill>
              </w:rPr>
              <w:t>g/m</w:t>
            </w:r>
            <w:r>
              <w:rPr>
                <w:rFonts w:ascii="Times New Roman" w:hAnsi="Times New Roman" w:cs="Times New Roman"/>
                <w:color w:val="000000" w:themeColor="text1"/>
                <w:sz w:val="24"/>
                <w:highlight w:val="none"/>
                <w:vertAlign w:val="superscript"/>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以下，符合《施工场地扬尘排放标准》(DB13/2934-2019)表1扬尘排放浓度限值要求</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eastAsia="宋体" w:cs="Times New Roman"/>
                <w:bCs/>
                <w:color w:val="000000" w:themeColor="text1"/>
                <w:sz w:val="24"/>
                <w:highlight w:val="none"/>
                <w14:textFill>
                  <w14:solidFill>
                    <w14:schemeClr w14:val="tx1"/>
                  </w14:solidFill>
                </w14:textFill>
              </w:rPr>
              <w:t>扬尘</w:t>
            </w:r>
            <w:r>
              <w:rPr>
                <w:rFonts w:hint="eastAsia" w:ascii="Times New Roman" w:hAnsi="Times New Roman" w:cs="Times New Roman"/>
                <w:bCs/>
                <w:color w:val="000000" w:themeColor="text1"/>
                <w:sz w:val="24"/>
                <w:highlight w:val="none"/>
                <w14:textFill>
                  <w14:solidFill>
                    <w14:schemeClr w14:val="tx1"/>
                  </w14:solidFill>
                </w14:textFill>
              </w:rPr>
              <w:t>产生</w:t>
            </w:r>
            <w:r>
              <w:rPr>
                <w:rFonts w:ascii="Times New Roman" w:hAnsi="Times New Roman" w:eastAsia="宋体" w:cs="Times New Roman"/>
                <w:bCs/>
                <w:color w:val="000000" w:themeColor="text1"/>
                <w:sz w:val="24"/>
                <w:highlight w:val="none"/>
                <w14:textFill>
                  <w14:solidFill>
                    <w14:schemeClr w14:val="tx1"/>
                  </w14:solidFill>
                </w14:textFill>
              </w:rPr>
              <w:t>的影响可接受</w:t>
            </w:r>
            <w:r>
              <w:rPr>
                <w:rFonts w:ascii="Times New Roman" w:hAnsi="Times New Roman" w:eastAsia="宋体" w:cs="Times New Roman"/>
                <w:color w:val="000000" w:themeColor="text1"/>
                <w:sz w:val="24"/>
                <w:highlight w:val="none"/>
                <w14:textFill>
                  <w14:solidFill>
                    <w14:schemeClr w14:val="tx1"/>
                  </w14:solidFill>
                </w14:textFill>
              </w:rPr>
              <w:t>。</w:t>
            </w:r>
          </w:p>
          <w:p>
            <w:pPr>
              <w:spacing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eastAsia="宋体"/>
                <w:b/>
                <w:bCs/>
                <w:color w:val="000000" w:themeColor="text1"/>
                <w:sz w:val="24"/>
                <w:highlight w:val="none"/>
                <w14:textFill>
                  <w14:solidFill>
                    <w14:schemeClr w14:val="tx1"/>
                  </w14:solidFill>
                </w14:textFill>
              </w:rPr>
              <w:t>2</w:t>
            </w:r>
            <w:r>
              <w:rPr>
                <w:rFonts w:hint="eastAsia" w:ascii="Times New Roman" w:hAnsi="Times New Roman" w:eastAsia="宋体"/>
                <w:b/>
                <w:bCs/>
                <w:color w:val="000000" w:themeColor="text1"/>
                <w:sz w:val="24"/>
                <w:highlight w:val="none"/>
                <w14:textFill>
                  <w14:solidFill>
                    <w14:schemeClr w14:val="tx1"/>
                  </w14:solidFill>
                </w14:textFill>
              </w:rPr>
              <w:t>、</w:t>
            </w:r>
            <w:r>
              <w:rPr>
                <w:rFonts w:ascii="Times New Roman" w:hAnsi="Times New Roman" w:eastAsia="宋体"/>
                <w:b/>
                <w:bCs/>
                <w:color w:val="000000" w:themeColor="text1"/>
                <w:sz w:val="24"/>
                <w:highlight w:val="none"/>
                <w14:textFill>
                  <w14:solidFill>
                    <w14:schemeClr w14:val="tx1"/>
                  </w14:solidFill>
                </w14:textFill>
              </w:rPr>
              <w:t>水环境</w:t>
            </w:r>
            <w:r>
              <w:rPr>
                <w:rFonts w:hint="eastAsia" w:ascii="Times New Roman" w:hAnsi="Times New Roman" w:eastAsia="宋体"/>
                <w:b/>
                <w:bCs/>
                <w:color w:val="000000" w:themeColor="text1"/>
                <w:sz w:val="24"/>
                <w:highlight w:val="none"/>
                <w14:textFill>
                  <w14:solidFill>
                    <w14:schemeClr w14:val="tx1"/>
                  </w14:solidFill>
                </w14:textFill>
              </w:rPr>
              <w:t>保护措施</w:t>
            </w: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施工期间废水主要为工程施工人员产生的生活污水，污染因子主要为COD、BOD</w:t>
            </w:r>
            <w:r>
              <w:rPr>
                <w:rFonts w:hint="eastAsia" w:ascii="Times New Roman" w:hAnsi="Times New Roman" w:eastAsia="宋体"/>
                <w:color w:val="000000" w:themeColor="text1"/>
                <w:sz w:val="24"/>
                <w:highlight w:val="none"/>
                <w:vertAlign w:val="subscript"/>
                <w14:textFill>
                  <w14:solidFill>
                    <w14:schemeClr w14:val="tx1"/>
                  </w14:solidFill>
                </w14:textFill>
              </w:rPr>
              <w:t>5</w:t>
            </w:r>
            <w:r>
              <w:rPr>
                <w:rFonts w:hint="eastAsia" w:ascii="Times New Roman" w:hAnsi="Times New Roman" w:eastAsia="宋体"/>
                <w:color w:val="000000" w:themeColor="text1"/>
                <w:sz w:val="24"/>
                <w:highlight w:val="none"/>
                <w14:textFill>
                  <w14:solidFill>
                    <w14:schemeClr w14:val="tx1"/>
                  </w14:solidFill>
                </w14:textFill>
              </w:rPr>
              <w:t>、SS、氨氮等。</w:t>
            </w: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项目施工人员均来自于当地，项目施工期间生活污水产生量很小，主要为施工人员的盥洗水，</w:t>
            </w:r>
            <w:r>
              <w:rPr>
                <w:rFonts w:hint="eastAsia" w:ascii="Times New Roman" w:hAnsi="Times New Roman" w:eastAsia="宋体"/>
                <w:color w:val="000000" w:themeColor="text1"/>
                <w:sz w:val="24"/>
                <w:highlight w:val="none"/>
                <w:lang w:val="en-US" w:eastAsia="zh-CN"/>
                <w14:textFill>
                  <w14:solidFill>
                    <w14:schemeClr w14:val="tx1"/>
                  </w14:solidFill>
                </w14:textFill>
              </w:rPr>
              <w:t>水质简单，用于施工场地泼洒抑尘</w:t>
            </w:r>
            <w:r>
              <w:rPr>
                <w:rFonts w:hint="eastAsia" w:ascii="Times New Roman" w:hAnsi="Times New Roman" w:eastAsia="宋体"/>
                <w:color w:val="000000" w:themeColor="text1"/>
                <w:sz w:val="24"/>
                <w:highlight w:val="none"/>
                <w14:textFill>
                  <w14:solidFill>
                    <w14:schemeClr w14:val="tx1"/>
                  </w14:solidFill>
                </w14:textFill>
              </w:rPr>
              <w:t>，不外排。</w:t>
            </w:r>
          </w:p>
          <w:p>
            <w:pPr>
              <w:spacing w:line="360" w:lineRule="auto"/>
              <w:ind w:firstLine="480" w:firstLineChars="200"/>
              <w:rPr>
                <w:rFonts w:ascii="Times New Roman" w:eastAsia="宋体" w:cs="Times New Roman"/>
                <w:color w:val="000000" w:themeColor="text1"/>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在采用上述措施，强化施工作业管理的前提下，</w:t>
            </w:r>
            <w:r>
              <w:rPr>
                <w:rFonts w:hint="eastAsia" w:ascii="Times New Roman" w:hAnsi="Times New Roman" w:eastAsia="宋体"/>
                <w:color w:val="000000" w:themeColor="text1"/>
                <w:sz w:val="24"/>
                <w:highlight w:val="none"/>
                <w14:textFill>
                  <w14:solidFill>
                    <w14:schemeClr w14:val="tx1"/>
                  </w14:solidFill>
                </w14:textFill>
              </w:rPr>
              <w:t>项目</w:t>
            </w:r>
            <w:r>
              <w:rPr>
                <w:rFonts w:ascii="Times New Roman" w:hAnsi="Times New Roman" w:eastAsia="宋体"/>
                <w:color w:val="000000" w:themeColor="text1"/>
                <w:sz w:val="24"/>
                <w:highlight w:val="none"/>
                <w14:textFill>
                  <w14:solidFill>
                    <w14:schemeClr w14:val="tx1"/>
                  </w14:solidFill>
                </w14:textFill>
              </w:rPr>
              <w:t>施工</w:t>
            </w:r>
            <w:r>
              <w:rPr>
                <w:rFonts w:hint="eastAsia" w:ascii="Times New Roman" w:hAnsi="Times New Roman" w:eastAsia="宋体"/>
                <w:color w:val="000000" w:themeColor="text1"/>
                <w:sz w:val="24"/>
                <w:highlight w:val="none"/>
                <w14:textFill>
                  <w14:solidFill>
                    <w14:schemeClr w14:val="tx1"/>
                  </w14:solidFill>
                </w14:textFill>
              </w:rPr>
              <w:t>期</w:t>
            </w:r>
            <w:r>
              <w:rPr>
                <w:rFonts w:ascii="Times New Roman" w:hAnsi="Times New Roman" w:eastAsia="宋体"/>
                <w:color w:val="000000" w:themeColor="text1"/>
                <w:sz w:val="24"/>
                <w:highlight w:val="none"/>
                <w14:textFill>
                  <w14:solidFill>
                    <w14:schemeClr w14:val="tx1"/>
                  </w14:solidFill>
                </w14:textFill>
              </w:rPr>
              <w:t>不会对地表水水质造成显著影响。</w:t>
            </w:r>
            <w:r>
              <w:rPr>
                <w:rFonts w:hint="eastAsia" w:ascii="Times New Roman" w:hAnsi="Times New Roman" w:eastAsia="宋体"/>
                <w:color w:val="000000" w:themeColor="text1"/>
                <w:sz w:val="24"/>
                <w:highlight w:val="none"/>
                <w14:textFill>
                  <w14:solidFill>
                    <w14:schemeClr w14:val="tx1"/>
                  </w14:solidFill>
                </w14:textFill>
              </w:rPr>
              <w:t>因此，项目施工期水环境影响可接受</w:t>
            </w:r>
            <w:r>
              <w:rPr>
                <w:rFonts w:hint="eastAsia" w:ascii="Times New Roman" w:eastAsia="宋体" w:cs="Times New Roman"/>
                <w:color w:val="000000" w:themeColor="text1"/>
                <w:highlight w:val="none"/>
                <w14:textFill>
                  <w14:solidFill>
                    <w14:schemeClr w14:val="tx1"/>
                  </w14:solidFill>
                </w14:textFill>
              </w:rPr>
              <w:t>。</w:t>
            </w:r>
          </w:p>
          <w:p>
            <w:pPr>
              <w:spacing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eastAsia="宋体"/>
                <w:b/>
                <w:bCs/>
                <w:color w:val="000000" w:themeColor="text1"/>
                <w:sz w:val="24"/>
                <w:highlight w:val="none"/>
                <w14:textFill>
                  <w14:solidFill>
                    <w14:schemeClr w14:val="tx1"/>
                  </w14:solidFill>
                </w14:textFill>
              </w:rPr>
              <w:t>3、声环境</w:t>
            </w:r>
            <w:r>
              <w:rPr>
                <w:rFonts w:hint="eastAsia" w:ascii="Times New Roman" w:hAnsi="Times New Roman" w:eastAsia="宋体"/>
                <w:b/>
                <w:bCs/>
                <w:color w:val="000000" w:themeColor="text1"/>
                <w:sz w:val="24"/>
                <w:highlight w:val="none"/>
                <w14:textFill>
                  <w14:solidFill>
                    <w14:schemeClr w14:val="tx1"/>
                  </w14:solidFill>
                </w14:textFill>
              </w:rPr>
              <w:t>保护措施</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施工期产生的噪声</w:t>
            </w:r>
            <w:r>
              <w:rPr>
                <w:rFonts w:hint="eastAsia"/>
                <w:color w:val="000000" w:themeColor="text1"/>
                <w:sz w:val="24"/>
                <w:highlight w:val="none"/>
                <w14:textFill>
                  <w14:solidFill>
                    <w14:schemeClr w14:val="tx1"/>
                  </w14:solidFill>
                </w14:textFill>
              </w:rPr>
              <w:t>主要为</w:t>
            </w:r>
            <w:r>
              <w:rPr>
                <w:color w:val="000000" w:themeColor="text1"/>
                <w:sz w:val="24"/>
                <w:highlight w:val="none"/>
                <w14:textFill>
                  <w14:solidFill>
                    <w14:schemeClr w14:val="tx1"/>
                  </w14:solidFill>
                </w14:textFill>
              </w:rPr>
              <w:t>施工</w:t>
            </w:r>
            <w:r>
              <w:rPr>
                <w:rFonts w:hint="eastAsia"/>
                <w:color w:val="000000" w:themeColor="text1"/>
                <w:sz w:val="24"/>
                <w:highlight w:val="none"/>
                <w14:textFill>
                  <w14:solidFill>
                    <w14:schemeClr w14:val="tx1"/>
                  </w14:solidFill>
                </w14:textFill>
              </w:rPr>
              <w:t>设备运行噪声</w:t>
            </w:r>
            <w:r>
              <w:rPr>
                <w:color w:val="000000" w:themeColor="text1"/>
                <w:sz w:val="24"/>
                <w:highlight w:val="none"/>
                <w14:textFill>
                  <w14:solidFill>
                    <w14:schemeClr w14:val="tx1"/>
                  </w14:solidFill>
                </w14:textFill>
              </w:rPr>
              <w:t>和</w:t>
            </w:r>
            <w:r>
              <w:rPr>
                <w:rFonts w:hint="eastAsia"/>
                <w:color w:val="000000" w:themeColor="text1"/>
                <w:sz w:val="24"/>
                <w:highlight w:val="none"/>
                <w14:textFill>
                  <w14:solidFill>
                    <w14:schemeClr w14:val="tx1"/>
                  </w14:solidFill>
                </w14:textFill>
              </w:rPr>
              <w:t>车辆行驶</w:t>
            </w:r>
            <w:r>
              <w:rPr>
                <w:color w:val="000000" w:themeColor="text1"/>
                <w:sz w:val="24"/>
                <w:highlight w:val="none"/>
                <w14:textFill>
                  <w14:solidFill>
                    <w14:schemeClr w14:val="tx1"/>
                  </w14:solidFill>
                </w14:textFill>
              </w:rPr>
              <w:t>噪声。</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（1）施工设备噪声</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施工设备噪声主要来源于施工机械设备运转。为减少施工期间设备噪声对</w:t>
            </w:r>
            <w:r>
              <w:rPr>
                <w:rFonts w:hint="eastAsia"/>
                <w:color w:val="000000" w:themeColor="text1"/>
                <w:sz w:val="24"/>
                <w:highlight w:val="none"/>
                <w14:textFill>
                  <w14:solidFill>
                    <w14:schemeClr w14:val="tx1"/>
                  </w14:solidFill>
                </w14:textFill>
              </w:rPr>
              <w:t>周边声环境的</w:t>
            </w:r>
            <w:r>
              <w:rPr>
                <w:color w:val="000000" w:themeColor="text1"/>
                <w:sz w:val="24"/>
                <w:highlight w:val="none"/>
                <w14:textFill>
                  <w14:solidFill>
                    <w14:schemeClr w14:val="tx1"/>
                  </w14:solidFill>
                </w14:textFill>
              </w:rPr>
              <w:t>影响，建设单位拟采取以下措施：</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w:t>
            </w:r>
            <w:r>
              <w:rPr>
                <w:color w:val="000000" w:themeColor="text1"/>
                <w:sz w:val="24"/>
                <w:highlight w:val="none"/>
                <w14:textFill>
                  <w14:solidFill>
                    <w14:schemeClr w14:val="tx1"/>
                  </w14:solidFill>
                </w14:textFill>
              </w:rPr>
              <w:t>施工单位应选用低噪声设备和先进的工艺，保持设备处于良好的运转状态</w:t>
            </w:r>
            <w:r>
              <w:rPr>
                <w:rFonts w:hint="eastAsia"/>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②合理安排施工时间及施工进度，</w:t>
            </w:r>
            <w:r>
              <w:rPr>
                <w:color w:val="000000" w:themeColor="text1"/>
                <w:sz w:val="24"/>
                <w:highlight w:val="none"/>
                <w14:textFill>
                  <w14:solidFill>
                    <w14:schemeClr w14:val="tx1"/>
                  </w14:solidFill>
                </w14:textFill>
              </w:rPr>
              <w:t>禁止夜间</w:t>
            </w:r>
            <w:r>
              <w:rPr>
                <w:rFonts w:ascii="Times New Roman" w:hAnsi="Times New Roman" w:cs="Times New Roman"/>
                <w:color w:val="000000" w:themeColor="text1"/>
                <w:sz w:val="24"/>
                <w:highlight w:val="none"/>
                <w14:textFill>
                  <w14:solidFill>
                    <w14:schemeClr w14:val="tx1"/>
                  </w14:solidFill>
                </w14:textFill>
              </w:rPr>
              <w:t>（22：00-次日6：00）施</w:t>
            </w:r>
            <w:r>
              <w:rPr>
                <w:color w:val="000000" w:themeColor="text1"/>
                <w:sz w:val="24"/>
                <w:highlight w:val="none"/>
                <w14:textFill>
                  <w14:solidFill>
                    <w14:schemeClr w14:val="tx1"/>
                  </w14:solidFill>
                </w14:textFill>
              </w:rPr>
              <w:t>工</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避免在同一时间集中使用大量的动力机械设备</w:t>
            </w:r>
            <w:r>
              <w:rPr>
                <w:rFonts w:hint="eastAsia"/>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③对本项目的施工进行合理布局，尽量使高噪声的机械设备设置在距离环境敏感点较远的一侧；</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④加强施工期环境监理，施工单位设专人负责施工机械的保养和维护；</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⑤针对与施工场地距离较近的居民点，优先采用调整施工时段、避开居民休息时段进行施工，同时，优化噪声设备工作位置，尽可能远离居民区，文明施工。</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⑥</w:t>
            </w:r>
            <w:r>
              <w:rPr>
                <w:color w:val="000000" w:themeColor="text1"/>
                <w:sz w:val="24"/>
                <w:highlight w:val="none"/>
                <w14:textFill>
                  <w14:solidFill>
                    <w14:schemeClr w14:val="tx1"/>
                  </w14:solidFill>
                </w14:textFill>
              </w:rPr>
              <w:t>加强施工期管理，施工单位设专人负责施工机械的保养和维护，保养和维护要有切实可行的规章制度，要定期对现场工作人员进行培训，每个工人都要严格按照规范使用各类机械，避免因故障产生突发噪声。</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（2）车辆行驶噪声</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运输噪声主要来源于运输车辆</w:t>
            </w:r>
            <w:r>
              <w:rPr>
                <w:rFonts w:hint="eastAsia"/>
                <w:color w:val="000000" w:themeColor="text1"/>
                <w:sz w:val="24"/>
                <w:highlight w:val="none"/>
                <w14:textFill>
                  <w14:solidFill>
                    <w14:schemeClr w14:val="tx1"/>
                  </w14:solidFill>
                </w14:textFill>
              </w:rPr>
              <w:t>行驶</w:t>
            </w:r>
            <w:r>
              <w:rPr>
                <w:color w:val="000000" w:themeColor="text1"/>
                <w:sz w:val="24"/>
                <w:highlight w:val="none"/>
                <w14:textFill>
                  <w14:solidFill>
                    <w14:schemeClr w14:val="tx1"/>
                  </w14:solidFill>
                </w14:textFill>
              </w:rPr>
              <w:t>。为减少施工期间运输噪声对居民住户影响，建设单位拟采取以下措施：</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①施工车辆在施工场地内低速行驶，禁止鸣笛；</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②运输时尽量避开敏感时段，加强管理；</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w:t>
            </w:r>
            <w:r>
              <w:rPr>
                <w:color w:val="000000" w:themeColor="text1"/>
                <w:sz w:val="24"/>
                <w:highlight w:val="none"/>
                <w14:textFill>
                  <w14:solidFill>
                    <w14:schemeClr w14:val="tx1"/>
                  </w14:solidFill>
                </w14:textFill>
              </w:rPr>
              <w:t>施工期间</w:t>
            </w:r>
            <w:r>
              <w:rPr>
                <w:rFonts w:hint="eastAsia"/>
                <w:color w:val="000000" w:themeColor="text1"/>
                <w:sz w:val="24"/>
                <w:highlight w:val="none"/>
                <w:lang w:val="en-US" w:eastAsia="zh-CN"/>
                <w14:textFill>
                  <w14:solidFill>
                    <w14:schemeClr w14:val="tx1"/>
                  </w14:solidFill>
                </w14:textFill>
              </w:rPr>
              <w:t>设备、</w:t>
            </w:r>
            <w:r>
              <w:rPr>
                <w:color w:val="000000" w:themeColor="text1"/>
                <w:sz w:val="24"/>
                <w:highlight w:val="none"/>
                <w14:textFill>
                  <w14:solidFill>
                    <w14:schemeClr w14:val="tx1"/>
                  </w14:solidFill>
                </w14:textFill>
              </w:rPr>
              <w:t>建筑材料和建筑垃圾的运输路线优化选择，尽量避开距离村庄居民住宅过近的路线</w:t>
            </w:r>
            <w:r>
              <w:rPr>
                <w:rFonts w:hint="eastAsia"/>
                <w:color w:val="000000" w:themeColor="text1"/>
                <w:sz w:val="24"/>
                <w:highlight w:val="none"/>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在采取上述措施后可确保施工场界噪声达标排放，对周围敏感点影响较小</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施工场界噪声满足《建筑施工场界环</w:t>
            </w:r>
            <w:r>
              <w:rPr>
                <w:rFonts w:ascii="Times New Roman" w:hAnsi="Times New Roman" w:cs="Times New Roman"/>
                <w:color w:val="000000" w:themeColor="text1"/>
                <w:sz w:val="24"/>
                <w:highlight w:val="none"/>
                <w14:textFill>
                  <w14:solidFill>
                    <w14:schemeClr w14:val="tx1"/>
                  </w14:solidFill>
                </w14:textFill>
              </w:rPr>
              <w:t>境噪声排放标准》（GB12523-2011）的要求，达标排放</w:t>
            </w:r>
            <w:r>
              <w:rPr>
                <w:rFonts w:ascii="Times New Roman" w:hAnsi="Times New Roman" w:eastAsia="宋体" w:cs="Times New Roman"/>
                <w:color w:val="000000" w:themeColor="text1"/>
                <w:sz w:val="24"/>
                <w:highlight w:val="none"/>
                <w14:textFill>
                  <w14:solidFill>
                    <w14:schemeClr w14:val="tx1"/>
                  </w14:solidFill>
                </w14:textFill>
              </w:rPr>
              <w:t>。</w:t>
            </w:r>
          </w:p>
          <w:p>
            <w:pPr>
              <w:pStyle w:val="30"/>
              <w:spacing w:line="360" w:lineRule="auto"/>
              <w:ind w:firstLine="482" w:firstLineChars="200"/>
              <w:rPr>
                <w:rFonts w:ascii="Times New Roman" w:eastAsia="宋体"/>
                <w:b/>
                <w:bCs/>
                <w:color w:val="000000" w:themeColor="text1"/>
                <w:highlight w:val="none"/>
                <w14:textFill>
                  <w14:solidFill>
                    <w14:schemeClr w14:val="tx1"/>
                  </w14:solidFill>
                </w14:textFill>
              </w:rPr>
            </w:pPr>
            <w:r>
              <w:rPr>
                <w:rFonts w:ascii="Times New Roman" w:eastAsia="宋体"/>
                <w:b/>
                <w:bCs/>
                <w:color w:val="000000" w:themeColor="text1"/>
                <w:highlight w:val="none"/>
                <w14:textFill>
                  <w14:solidFill>
                    <w14:schemeClr w14:val="tx1"/>
                  </w14:solidFill>
                </w14:textFill>
              </w:rPr>
              <w:t>4、固体废物环境</w:t>
            </w:r>
            <w:r>
              <w:rPr>
                <w:rFonts w:hint="eastAsia" w:ascii="Times New Roman" w:eastAsia="宋体"/>
                <w:b/>
                <w:bCs/>
                <w:color w:val="000000" w:themeColor="text1"/>
                <w:highlight w:val="none"/>
                <w14:textFill>
                  <w14:solidFill>
                    <w14:schemeClr w14:val="tx1"/>
                  </w14:solidFill>
                </w14:textFill>
              </w:rPr>
              <w:t>保护措施</w:t>
            </w: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施工期产生的固体废物</w:t>
            </w:r>
            <w:r>
              <w:rPr>
                <w:rFonts w:hint="eastAsia" w:ascii="Times New Roman" w:hAnsi="Times New Roman" w:eastAsia="宋体"/>
                <w:color w:val="000000" w:themeColor="text1"/>
                <w:sz w:val="24"/>
                <w:highlight w:val="none"/>
                <w14:textFill>
                  <w14:solidFill>
                    <w14:schemeClr w14:val="tx1"/>
                  </w14:solidFill>
                </w14:textFill>
              </w:rPr>
              <w:t>主要为拆除的废旧设备、施工时产生的建筑垃圾及施工人员生活垃圾</w:t>
            </w:r>
            <w:r>
              <w:rPr>
                <w:rFonts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废旧设备拆除后暂存于厂区库房；本项目建筑垃圾产生量较小，集中收集后</w:t>
            </w:r>
            <w:r>
              <w:rPr>
                <w:rFonts w:ascii="Times New Roman" w:hAnsi="Times New Roman" w:eastAsia="宋体" w:cs="Times New Roman"/>
                <w:color w:val="000000" w:themeColor="text1"/>
                <w:sz w:val="24"/>
                <w:highlight w:val="none"/>
                <w14:textFill>
                  <w14:solidFill>
                    <w14:schemeClr w14:val="tx1"/>
                  </w14:solidFill>
                </w14:textFill>
              </w:rPr>
              <w:t>运至政府部门指定的建筑垃圾处置场处理</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施工期</w:t>
            </w:r>
            <w:r>
              <w:rPr>
                <w:rFonts w:ascii="Times New Roman" w:hAnsi="Times New Roman" w:eastAsia="宋体"/>
                <w:color w:val="000000" w:themeColor="text1"/>
                <w:sz w:val="24"/>
                <w:highlight w:val="none"/>
                <w14:textFill>
                  <w14:solidFill>
                    <w14:schemeClr w14:val="tx1"/>
                  </w14:solidFill>
                </w14:textFill>
              </w:rPr>
              <w:t>生活垃圾定点堆存，</w:t>
            </w:r>
            <w:r>
              <w:rPr>
                <w:rFonts w:hint="eastAsia" w:ascii="Times New Roman" w:hAnsi="Times New Roman" w:eastAsia="宋体"/>
                <w:color w:val="000000" w:themeColor="text1"/>
                <w:sz w:val="24"/>
                <w:highlight w:val="none"/>
                <w14:textFill>
                  <w14:solidFill>
                    <w14:schemeClr w14:val="tx1"/>
                  </w14:solidFill>
                </w14:textFill>
              </w:rPr>
              <w:t>集中收集，送至环卫部门指定垃圾收集点，由环卫部门统一处置。</w:t>
            </w: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综上，施工期产生的固体废弃物均得到妥善处理。</w:t>
            </w: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pPr>
              <w:spacing w:line="360" w:lineRule="auto"/>
              <w:rPr>
                <w:rFonts w:ascii="Times New Roman" w:hAnsi="Times New Roman" w:eastAsia="宋体"/>
                <w:color w:val="000000" w:themeColor="text1"/>
                <w:sz w:val="24"/>
                <w:highlight w:val="none"/>
                <w14:textFill>
                  <w14:solidFill>
                    <w14:schemeClr w14:val="tx1"/>
                  </w14:solidFill>
                </w14:textFill>
              </w:rPr>
            </w:pPr>
          </w:p>
          <w:p>
            <w:pPr>
              <w:spacing w:line="360" w:lineRule="auto"/>
              <w:ind w:firstLine="440" w:firstLineChars="200"/>
              <w:rPr>
                <w:rFonts w:ascii="Times New Roman" w:hAnsi="Times New Roman" w:eastAsia="宋体" w:cs="Times New Roman"/>
                <w:bCs/>
                <w:color w:val="000000" w:themeColor="text1"/>
                <w:spacing w:val="-1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2" w:hRule="atLeast"/>
          <w:jc w:val="center"/>
        </w:trPr>
        <w:tc>
          <w:tcPr>
            <w:tcW w:w="310"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bCs/>
                <w:color w:val="000000" w:themeColor="text1"/>
                <w:sz w:val="24"/>
                <w:highlight w:val="none"/>
                <w14:textFill>
                  <w14:solidFill>
                    <w14:schemeClr w14:val="tx1"/>
                  </w14:solidFill>
                </w14:textFill>
              </w:rPr>
            </w:pPr>
            <w:r>
              <w:rPr>
                <w:rFonts w:ascii="Times New Roman" w:hAnsi="Times New Roman" w:eastAsia="宋体" w:cs="Times New Roman"/>
                <w:bCs/>
                <w:color w:val="000000" w:themeColor="text1"/>
                <w:sz w:val="24"/>
                <w:highlight w:val="none"/>
                <w:lang w:bidi="ar"/>
                <w14:textFill>
                  <w14:solidFill>
                    <w14:schemeClr w14:val="tx1"/>
                  </w14:solidFill>
                </w14:textFill>
              </w:rPr>
              <w:t>运营期环境影响和保护措施</w:t>
            </w:r>
          </w:p>
        </w:tc>
        <w:tc>
          <w:tcPr>
            <w:tcW w:w="8679" w:type="dxa"/>
            <w:tcBorders>
              <w:top w:val="single" w:color="auto" w:sz="4" w:space="0"/>
              <w:left w:val="single" w:color="auto" w:sz="4" w:space="0"/>
              <w:bottom w:val="single" w:color="auto" w:sz="8" w:space="0"/>
              <w:right w:val="single" w:color="auto" w:sz="8" w:space="0"/>
            </w:tcBorders>
            <w:shd w:val="clear" w:color="auto" w:fill="auto"/>
          </w:tcPr>
          <w:p>
            <w:pPr>
              <w:pStyle w:val="15"/>
              <w:widowControl w:val="0"/>
              <w:snapToGrid w:val="0"/>
              <w:spacing w:before="156" w:beforeLines="50" w:line="360" w:lineRule="auto"/>
              <w:ind w:left="0" w:leftChars="0"/>
              <w:jc w:val="both"/>
              <w:rPr>
                <w:rFonts w:hint="default" w:ascii="Times New Roman" w:hAnsi="Times New Roman"/>
                <w:b/>
                <w:color w:val="000000" w:themeColor="text1"/>
                <w:kern w:val="2"/>
                <w:highlight w:val="none"/>
                <w14:textFill>
                  <w14:solidFill>
                    <w14:schemeClr w14:val="tx1"/>
                  </w14:solidFill>
                </w14:textFill>
              </w:rPr>
            </w:pPr>
            <w:r>
              <w:rPr>
                <w:rFonts w:hint="default" w:ascii="Times New Roman" w:hAnsi="Times New Roman"/>
                <w:b/>
                <w:color w:val="000000" w:themeColor="text1"/>
                <w:kern w:val="2"/>
                <w:highlight w:val="none"/>
                <w14:textFill>
                  <w14:solidFill>
                    <w14:schemeClr w14:val="tx1"/>
                  </w14:solidFill>
                </w14:textFill>
              </w:rPr>
              <w:t>运营期环境影响和保护措施：</w:t>
            </w:r>
          </w:p>
          <w:p>
            <w:pPr>
              <w:pStyle w:val="15"/>
              <w:widowControl w:val="0"/>
              <w:snapToGrid w:val="0"/>
              <w:spacing w:line="360" w:lineRule="auto"/>
              <w:ind w:left="479" w:leftChars="228"/>
              <w:jc w:val="both"/>
              <w:rPr>
                <w:rFonts w:hint="default" w:ascii="Times New Roman" w:hAnsi="Times New Roman"/>
                <w:b/>
                <w:color w:val="000000" w:themeColor="text1"/>
                <w:kern w:val="2"/>
                <w:highlight w:val="none"/>
                <w14:textFill>
                  <w14:solidFill>
                    <w14:schemeClr w14:val="tx1"/>
                  </w14:solidFill>
                </w14:textFill>
              </w:rPr>
            </w:pPr>
            <w:r>
              <w:rPr>
                <w:rFonts w:hint="default" w:ascii="Times New Roman" w:hAnsi="Times New Roman"/>
                <w:b/>
                <w:color w:val="000000" w:themeColor="text1"/>
                <w:kern w:val="2"/>
                <w:highlight w:val="none"/>
                <w14:textFill>
                  <w14:solidFill>
                    <w14:schemeClr w14:val="tx1"/>
                  </w14:solidFill>
                </w14:textFill>
              </w:rPr>
              <w:t>1、</w:t>
            </w:r>
            <w:r>
              <w:rPr>
                <w:rFonts w:ascii="Times New Roman" w:hAnsi="Times New Roman"/>
                <w:b/>
                <w:color w:val="000000" w:themeColor="text1"/>
                <w:kern w:val="2"/>
                <w:highlight w:val="none"/>
                <w14:textFill>
                  <w14:solidFill>
                    <w14:schemeClr w14:val="tx1"/>
                  </w14:solidFill>
                </w14:textFill>
              </w:rPr>
              <w:t>废气</w:t>
            </w:r>
          </w:p>
          <w:p>
            <w:pPr>
              <w:snapToGrid w:val="0"/>
              <w:spacing w:line="360" w:lineRule="auto"/>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（1）废气污染源调查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根据工程分析各污染源的基本分布状况及排放特征，项目运营期产生的废气为</w:t>
            </w:r>
            <w:r>
              <w:rPr>
                <w:rFonts w:hint="eastAsia" w:ascii="Times New Roman" w:hAnsi="Times New Roman" w:cs="Times New Roman"/>
                <w:color w:val="000000" w:themeColor="text1"/>
                <w:sz w:val="24"/>
                <w:highlight w:val="none"/>
                <w:lang w:val="en-US" w:eastAsia="zh-CN"/>
                <w14:textFill>
                  <w14:solidFill>
                    <w14:schemeClr w14:val="tx1"/>
                  </w14:solidFill>
                </w14:textFill>
              </w:rPr>
              <w:t>干燥机尾气</w:t>
            </w:r>
            <w:r>
              <w:rPr>
                <w:rFonts w:ascii="Times New Roman" w:hAnsi="Times New Roman" w:cs="Times New Roman"/>
                <w:color w:val="000000" w:themeColor="text1"/>
                <w:sz w:val="24"/>
                <w:highlight w:val="none"/>
                <w14:textFill>
                  <w14:solidFill>
                    <w14:schemeClr w14:val="tx1"/>
                  </w14:solidFill>
                </w14:textFill>
              </w:rPr>
              <w:t>，主要污染因子为颗粒物、SO</w:t>
            </w:r>
            <w:r>
              <w:rPr>
                <w:rFonts w:ascii="Times New Roman" w:hAnsi="Times New Roman" w:cs="Times New Roman"/>
                <w:color w:val="000000" w:themeColor="text1"/>
                <w:sz w:val="24"/>
                <w:highlight w:val="none"/>
                <w:vertAlign w:val="subscript"/>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、NOx。</w:t>
            </w:r>
            <w:r>
              <w:rPr>
                <w:rFonts w:hint="eastAsia" w:ascii="Times New Roman" w:hAnsi="Times New Roman" w:cs="Times New Roman"/>
                <w:color w:val="000000" w:themeColor="text1"/>
                <w:sz w:val="24"/>
                <w:highlight w:val="none"/>
                <w14:textFill>
                  <w14:solidFill>
                    <w14:schemeClr w14:val="tx1"/>
                  </w14:solidFill>
                </w14:textFill>
              </w:rPr>
              <w:t>本项目</w:t>
            </w:r>
            <w:r>
              <w:rPr>
                <w:rFonts w:ascii="Times New Roman" w:hAnsi="Times New Roman" w:cs="Times New Roman"/>
                <w:color w:val="000000" w:themeColor="text1"/>
                <w:sz w:val="24"/>
                <w:highlight w:val="none"/>
                <w14:textFill>
                  <w14:solidFill>
                    <w14:schemeClr w14:val="tx1"/>
                  </w14:solidFill>
                </w14:textFill>
              </w:rPr>
              <w:t>废气污染源</w:t>
            </w:r>
            <w:r>
              <w:rPr>
                <w:rFonts w:hint="eastAsia" w:ascii="Times New Roman" w:hAnsi="Times New Roman" w:cs="Times New Roman"/>
                <w:color w:val="000000" w:themeColor="text1"/>
                <w:sz w:val="24"/>
                <w:highlight w:val="none"/>
                <w14:textFill>
                  <w14:solidFill>
                    <w14:schemeClr w14:val="tx1"/>
                  </w14:solidFill>
                </w14:textFill>
              </w:rPr>
              <w:t>调查情况见下表。</w:t>
            </w:r>
          </w:p>
          <w:p>
            <w:pPr>
              <w:pStyle w:val="15"/>
              <w:widowControl w:val="0"/>
              <w:numPr>
                <w:ilvl w:val="0"/>
                <w:numId w:val="9"/>
              </w:numPr>
              <w:snapToGrid w:val="0"/>
              <w:ind w:leftChars="0" w:firstLine="0"/>
              <w:jc w:val="center"/>
              <w:rPr>
                <w:rFonts w:hint="default"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项目废气污染源调查情况一览表</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434"/>
              <w:gridCol w:w="1636"/>
              <w:gridCol w:w="1544"/>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pPr>
                    <w:spacing w:line="320" w:lineRule="exact"/>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序号</w:t>
                  </w:r>
                </w:p>
              </w:tc>
              <w:tc>
                <w:tcPr>
                  <w:tcW w:w="849" w:type="pct"/>
                  <w:vAlign w:val="center"/>
                </w:tcPr>
                <w:p>
                  <w:pPr>
                    <w:spacing w:line="320" w:lineRule="exact"/>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产</w:t>
                  </w:r>
                  <w:r>
                    <w:rPr>
                      <w:rFonts w:ascii="Times New Roman" w:hAnsi="Times New Roman" w:cs="Times New Roman"/>
                      <w:b/>
                      <w:bCs/>
                      <w:color w:val="000000" w:themeColor="text1"/>
                      <w:szCs w:val="21"/>
                      <w:highlight w:val="none"/>
                      <w14:textFill>
                        <w14:solidFill>
                          <w14:schemeClr w14:val="tx1"/>
                        </w14:solidFill>
                      </w14:textFill>
                    </w:rPr>
                    <w:t>污节点</w:t>
                  </w:r>
                </w:p>
              </w:tc>
              <w:tc>
                <w:tcPr>
                  <w:tcW w:w="968" w:type="pct"/>
                  <w:vAlign w:val="center"/>
                </w:tcPr>
                <w:p>
                  <w:pPr>
                    <w:spacing w:line="320" w:lineRule="exact"/>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污染物</w:t>
                  </w:r>
                  <w:r>
                    <w:rPr>
                      <w:rFonts w:hint="eastAsia" w:ascii="Times New Roman" w:hAnsi="Times New Roman" w:cs="Times New Roman"/>
                      <w:b/>
                      <w:bCs/>
                      <w:color w:val="000000" w:themeColor="text1"/>
                      <w:szCs w:val="21"/>
                      <w:highlight w:val="none"/>
                      <w14:textFill>
                        <w14:solidFill>
                          <w14:schemeClr w14:val="tx1"/>
                        </w14:solidFill>
                      </w14:textFill>
                    </w:rPr>
                    <w:t>名称</w:t>
                  </w:r>
                </w:p>
              </w:tc>
              <w:tc>
                <w:tcPr>
                  <w:tcW w:w="914" w:type="pct"/>
                  <w:vAlign w:val="center"/>
                </w:tcPr>
                <w:p>
                  <w:pPr>
                    <w:spacing w:line="320" w:lineRule="exact"/>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排放方式</w:t>
                  </w:r>
                </w:p>
              </w:tc>
              <w:tc>
                <w:tcPr>
                  <w:tcW w:w="1770" w:type="pct"/>
                  <w:vAlign w:val="center"/>
                </w:tcPr>
                <w:p>
                  <w:pPr>
                    <w:spacing w:line="320" w:lineRule="exact"/>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1</w:t>
                  </w:r>
                </w:p>
              </w:tc>
              <w:tc>
                <w:tcPr>
                  <w:tcW w:w="849" w:type="pct"/>
                  <w:vAlign w:val="center"/>
                </w:tcPr>
                <w:p>
                  <w:pPr>
                    <w:spacing w:line="240" w:lineRule="atLeast"/>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干燥机</w:t>
                  </w:r>
                </w:p>
              </w:tc>
              <w:tc>
                <w:tcPr>
                  <w:tcW w:w="968" w:type="pct"/>
                  <w:vAlign w:val="center"/>
                </w:tcPr>
                <w:p>
                  <w:pPr>
                    <w:spacing w:line="240" w:lineRule="atLeas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干燥机尾</w:t>
                  </w:r>
                  <w:r>
                    <w:rPr>
                      <w:rFonts w:hint="eastAsia" w:ascii="Times New Roman" w:hAnsi="Times New Roman" w:eastAsia="宋体" w:cs="Times New Roman"/>
                      <w:color w:val="000000" w:themeColor="text1"/>
                      <w:szCs w:val="21"/>
                      <w:highlight w:val="none"/>
                      <w14:textFill>
                        <w14:solidFill>
                          <w14:schemeClr w14:val="tx1"/>
                        </w14:solidFill>
                      </w14:textFill>
                    </w:rPr>
                    <w:t>气</w:t>
                  </w:r>
                </w:p>
              </w:tc>
              <w:tc>
                <w:tcPr>
                  <w:tcW w:w="914" w:type="pct"/>
                  <w:vAlign w:val="center"/>
                </w:tcPr>
                <w:p>
                  <w:pPr>
                    <w:spacing w:line="320" w:lineRule="exact"/>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有组织</w:t>
                  </w:r>
                </w:p>
              </w:tc>
              <w:tc>
                <w:tcPr>
                  <w:tcW w:w="1770" w:type="pct"/>
                  <w:vAlign w:val="center"/>
                </w:tcPr>
                <w:p>
                  <w:pPr>
                    <w:spacing w:line="32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颗粒物、SO</w:t>
                  </w:r>
                  <w:r>
                    <w:rPr>
                      <w:rFonts w:hint="eastAsia" w:ascii="Times New Roman" w:hAnsi="Times New Roman" w:cs="Times New Roman"/>
                      <w:color w:val="000000" w:themeColor="text1"/>
                      <w:szCs w:val="21"/>
                      <w:highlight w:val="none"/>
                      <w:vertAlign w:val="subscript"/>
                      <w14:textFill>
                        <w14:solidFill>
                          <w14:schemeClr w14:val="tx1"/>
                        </w14:solidFill>
                      </w14:textFill>
                    </w:rPr>
                    <w:t>2</w:t>
                  </w:r>
                  <w:r>
                    <w:rPr>
                      <w:rFonts w:hint="eastAsia" w:ascii="Times New Roman" w:hAnsi="Times New Roman" w:cs="Times New Roman"/>
                      <w:color w:val="000000" w:themeColor="text1"/>
                      <w:szCs w:val="21"/>
                      <w:highlight w:val="none"/>
                      <w14:textFill>
                        <w14:solidFill>
                          <w14:schemeClr w14:val="tx1"/>
                        </w14:solidFill>
                      </w14:textFill>
                    </w:rPr>
                    <w:t>、NOx</w:t>
                  </w:r>
                </w:p>
              </w:tc>
            </w:tr>
          </w:tbl>
          <w:p>
            <w:pPr>
              <w:pStyle w:val="15"/>
              <w:widowControl w:val="0"/>
              <w:snapToGrid w:val="0"/>
              <w:spacing w:before="156" w:beforeLines="50" w:line="360" w:lineRule="auto"/>
              <w:ind w:left="479" w:leftChars="228"/>
              <w:rPr>
                <w:rFonts w:hint="default" w:ascii="Times New Roman" w:hAnsi="Times New Roman"/>
                <w:b/>
                <w:color w:val="000000" w:themeColor="text1"/>
                <w:kern w:val="2"/>
                <w:highlight w:val="none"/>
                <w14:textFill>
                  <w14:solidFill>
                    <w14:schemeClr w14:val="tx1"/>
                  </w14:solidFill>
                </w14:textFill>
              </w:rPr>
            </w:pPr>
            <w:r>
              <w:rPr>
                <w:rFonts w:hint="default" w:ascii="Times New Roman" w:hAnsi="Times New Roman"/>
                <w:b/>
                <w:color w:val="000000" w:themeColor="text1"/>
                <w:kern w:val="2"/>
                <w:highlight w:val="none"/>
                <w14:textFill>
                  <w14:solidFill>
                    <w14:schemeClr w14:val="tx1"/>
                  </w14:solidFill>
                </w14:textFill>
              </w:rPr>
              <w:t>（</w:t>
            </w:r>
            <w:r>
              <w:rPr>
                <w:rFonts w:ascii="Times New Roman" w:hAnsi="Times New Roman"/>
                <w:b/>
                <w:color w:val="000000" w:themeColor="text1"/>
                <w:kern w:val="2"/>
                <w:highlight w:val="none"/>
                <w14:textFill>
                  <w14:solidFill>
                    <w14:schemeClr w14:val="tx1"/>
                  </w14:solidFill>
                </w14:textFill>
              </w:rPr>
              <w:t>2</w:t>
            </w:r>
            <w:r>
              <w:rPr>
                <w:rFonts w:hint="default" w:ascii="Times New Roman" w:hAnsi="Times New Roman"/>
                <w:b/>
                <w:color w:val="000000" w:themeColor="text1"/>
                <w:kern w:val="2"/>
                <w:highlight w:val="none"/>
                <w14:textFill>
                  <w14:solidFill>
                    <w14:schemeClr w14:val="tx1"/>
                  </w14:solidFill>
                </w14:textFill>
              </w:rPr>
              <w:t>）源强核算</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热能中心</w:t>
            </w:r>
            <w:r>
              <w:rPr>
                <w:rFonts w:hint="eastAsia" w:ascii="Times New Roman" w:hAnsi="Times New Roman" w:cs="Times New Roman"/>
                <w:color w:val="000000" w:themeColor="text1"/>
                <w:sz w:val="24"/>
                <w:highlight w:val="none"/>
                <w:lang w:val="en-US" w:eastAsia="zh-CN"/>
                <w14:textFill>
                  <w14:solidFill>
                    <w14:schemeClr w14:val="tx1"/>
                  </w14:solidFill>
                </w14:textFill>
              </w:rPr>
              <w:t>以生物质为燃料，年运行时间6750</w:t>
            </w:r>
            <w:r>
              <w:rPr>
                <w:rFonts w:hint="eastAsia" w:ascii="Times New Roman" w:hAnsi="Times New Roman" w:cs="Times New Roman"/>
                <w:color w:val="000000" w:themeColor="text1"/>
                <w:sz w:val="24"/>
                <w:highlight w:val="none"/>
                <w14:textFill>
                  <w14:solidFill>
                    <w14:schemeClr w14:val="tx1"/>
                  </w14:solidFill>
                </w14:textFill>
              </w:rPr>
              <w:t>h。在刨花板刨花制备工序，筛分后的湿刨花要进行干燥，</w:t>
            </w:r>
            <w:r>
              <w:rPr>
                <w:rFonts w:hint="eastAsia" w:ascii="Times New Roman" w:hAnsi="Times New Roman" w:cs="Times New Roman"/>
                <w:color w:val="000000" w:themeColor="text1"/>
                <w:sz w:val="24"/>
                <w:highlight w:val="none"/>
                <w:lang w:val="en-US" w:eastAsia="zh-CN"/>
                <w14:textFill>
                  <w14:solidFill>
                    <w14:schemeClr w14:val="tx1"/>
                  </w14:solidFill>
                </w14:textFill>
              </w:rPr>
              <w:t>热能中心产生</w:t>
            </w:r>
            <w:r>
              <w:rPr>
                <w:rFonts w:hint="eastAsia" w:ascii="Times New Roman" w:hAnsi="Times New Roman" w:cs="Times New Roman"/>
                <w:color w:val="000000" w:themeColor="text1"/>
                <w:sz w:val="24"/>
                <w:highlight w:val="none"/>
                <w14:textFill>
                  <w14:solidFill>
                    <w14:schemeClr w14:val="tx1"/>
                  </w14:solidFill>
                </w14:textFill>
              </w:rPr>
              <w:t>的高温烟气经</w:t>
            </w:r>
            <w:r>
              <w:rPr>
                <w:rFonts w:hint="eastAsia" w:ascii="Times New Roman" w:hAnsi="Times New Roman" w:cs="Times New Roman"/>
                <w:color w:val="000000" w:themeColor="text1"/>
                <w:sz w:val="24"/>
                <w:highlight w:val="none"/>
                <w:lang w:val="en-US" w:eastAsia="zh-CN"/>
                <w14:textFill>
                  <w14:solidFill>
                    <w14:schemeClr w14:val="tx1"/>
                  </w14:solidFill>
                </w14:textFill>
              </w:rPr>
              <w:t>脱硝、</w:t>
            </w:r>
            <w:r>
              <w:rPr>
                <w:rFonts w:hint="eastAsia" w:ascii="Times New Roman" w:hAnsi="Times New Roman" w:cs="Times New Roman"/>
                <w:color w:val="000000" w:themeColor="text1"/>
                <w:sz w:val="24"/>
                <w:highlight w:val="none"/>
                <w14:textFill>
                  <w14:solidFill>
                    <w14:schemeClr w14:val="tx1"/>
                  </w14:solidFill>
                </w14:textFill>
              </w:rPr>
              <w:t>除尘后作为洁净烟气用于干燥，最终干燥机尾气经旋风除尘器和湿式静电除尘系统处理后通过1根</w:t>
            </w:r>
            <w:r>
              <w:rPr>
                <w:rFonts w:hint="eastAsia" w:ascii="Times New Roman" w:hAnsi="Times New Roman" w:cs="Times New Roman"/>
                <w:color w:val="000000" w:themeColor="text1"/>
                <w:sz w:val="24"/>
                <w:highlight w:val="none"/>
                <w:lang w:val="en-US" w:eastAsia="zh-CN"/>
                <w14:textFill>
                  <w14:solidFill>
                    <w14:schemeClr w14:val="tx1"/>
                  </w14:solidFill>
                </w14:textFill>
              </w:rPr>
              <w:t>55</w:t>
            </w:r>
            <w:r>
              <w:rPr>
                <w:rFonts w:hint="eastAsia" w:ascii="Times New Roman" w:hAnsi="Times New Roman" w:cs="Times New Roman"/>
                <w:color w:val="000000" w:themeColor="text1"/>
                <w:sz w:val="24"/>
                <w:highlight w:val="none"/>
                <w14:textFill>
                  <w14:solidFill>
                    <w14:schemeClr w14:val="tx1"/>
                  </w14:solidFill>
                </w14:textFill>
              </w:rPr>
              <w:t>m高排气筒（3#排气筒）排放</w:t>
            </w:r>
            <w:r>
              <w:rPr>
                <w:rFonts w:hint="eastAsia"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热能中心年燃料使用量不变，企业实际运行过程中，</w:t>
            </w:r>
            <w:r>
              <w:rPr>
                <w:rFonts w:hint="eastAsia" w:ascii="Times New Roman" w:hAnsi="Times New Roman"/>
                <w:color w:val="000000" w:themeColor="text1"/>
                <w:sz w:val="24"/>
                <w:highlight w:val="none"/>
                <w:lang w:val="en-US" w:eastAsia="zh-CN"/>
                <w14:textFill>
                  <w14:solidFill>
                    <w14:schemeClr w14:val="tx1"/>
                  </w14:solidFill>
                </w14:textFill>
              </w:rPr>
              <w:t>用热量随季节变化，冬季用热量较夏季明显增大，冬季燃料使用量较多。考虑最不利情况，</w:t>
            </w:r>
            <w:r>
              <w:rPr>
                <w:rFonts w:hint="eastAsia" w:ascii="Times New Roman" w:hAnsi="Times New Roman" w:cs="Times New Roman"/>
                <w:color w:val="000000" w:themeColor="text1"/>
                <w:sz w:val="24"/>
                <w:highlight w:val="none"/>
                <w14:textFill>
                  <w14:solidFill>
                    <w14:schemeClr w14:val="tx1"/>
                  </w14:solidFill>
                </w14:textFill>
              </w:rPr>
              <w:t>本项目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按冬季污染物排放数据进行源强核算。参考企业2023年11月1日8-9时在线监测数据，热能中心湿电除尘排气筒出口污染物浓度及风量计算</w:t>
            </w:r>
            <w:r>
              <w:rPr>
                <w:rFonts w:ascii="Times New Roman" w:hAnsi="Times New Roman" w:cs="Times New Roman"/>
                <w:color w:val="000000" w:themeColor="text1"/>
                <w:sz w:val="24"/>
                <w:highlight w:val="none"/>
                <w14:textFill>
                  <w14:solidFill>
                    <w14:schemeClr w14:val="tx1"/>
                  </w14:solidFill>
                </w14:textFill>
              </w:rPr>
              <w:t>颗粒物、SO</w:t>
            </w:r>
            <w:r>
              <w:rPr>
                <w:rFonts w:ascii="Times New Roman" w:hAnsi="Times New Roman" w:cs="Times New Roman"/>
                <w:color w:val="000000" w:themeColor="text1"/>
                <w:sz w:val="24"/>
                <w:highlight w:val="none"/>
                <w:vertAlign w:val="subscript"/>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、NOx</w:t>
            </w:r>
            <w:r>
              <w:rPr>
                <w:rFonts w:hint="eastAsia" w:ascii="Times New Roman" w:hAnsi="Times New Roman" w:cs="Times New Roman"/>
                <w:color w:val="000000" w:themeColor="text1"/>
                <w:sz w:val="24"/>
                <w:highlight w:val="none"/>
                <w:lang w:val="en-US" w:eastAsia="zh-CN"/>
                <w14:textFill>
                  <w14:solidFill>
                    <w14:schemeClr w14:val="tx1"/>
                  </w14:solidFill>
                </w14:textFill>
              </w:rPr>
              <w:t>排放量。</w:t>
            </w:r>
          </w:p>
          <w:p>
            <w:pPr>
              <w:pStyle w:val="15"/>
              <w:widowControl w:val="0"/>
              <w:numPr>
                <w:ilvl w:val="0"/>
                <w:numId w:val="9"/>
              </w:numPr>
              <w:snapToGrid w:val="0"/>
              <w:ind w:left="0" w:leftChars="0" w:firstLine="0"/>
              <w:jc w:val="center"/>
              <w:rPr>
                <w:rFonts w:hint="default"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污染物排放情况表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3635"/>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pct"/>
                  <w:vAlign w:val="center"/>
                </w:tcPr>
                <w:p>
                  <w:pPr>
                    <w:widowControl/>
                    <w:jc w:val="center"/>
                    <w:rPr>
                      <w:rFonts w:ascii="Times New Roman" w:hAnsi="Times New Roman" w:cs="Times New Roman"/>
                      <w:b/>
                      <w:bCs/>
                      <w:color w:val="000000" w:themeColor="text1"/>
                      <w:kern w:val="0"/>
                      <w:szCs w:val="21"/>
                      <w:highlight w:val="none"/>
                      <w:lang w:bidi="ar"/>
                      <w14:textFill>
                        <w14:solidFill>
                          <w14:schemeClr w14:val="tx1"/>
                        </w14:solidFill>
                      </w14:textFill>
                    </w:rPr>
                  </w:pPr>
                  <w:r>
                    <w:rPr>
                      <w:rFonts w:ascii="Times New Roman" w:hAnsi="Times New Roman" w:cs="Times New Roman"/>
                      <w:b/>
                      <w:bCs/>
                      <w:color w:val="000000" w:themeColor="text1"/>
                      <w:kern w:val="0"/>
                      <w:szCs w:val="21"/>
                      <w:highlight w:val="none"/>
                      <w:lang w:bidi="ar"/>
                      <w14:textFill>
                        <w14:solidFill>
                          <w14:schemeClr w14:val="tx1"/>
                        </w14:solidFill>
                      </w14:textFill>
                    </w:rPr>
                    <w:t>污染物指标</w:t>
                  </w:r>
                </w:p>
              </w:tc>
              <w:tc>
                <w:tcPr>
                  <w:tcW w:w="2150" w:type="pct"/>
                  <w:vAlign w:val="center"/>
                </w:tcPr>
                <w:p>
                  <w:pPr>
                    <w:widowControl/>
                    <w:jc w:val="center"/>
                    <w:rPr>
                      <w:rFonts w:hint="eastAsia" w:ascii="Times New Roman" w:hAnsi="Times New Roman" w:cs="Times New Roman" w:eastAsiaTheme="minorEastAsia"/>
                      <w:b/>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cs="Times New Roman"/>
                      <w:b/>
                      <w:bCs/>
                      <w:color w:val="000000" w:themeColor="text1"/>
                      <w:kern w:val="0"/>
                      <w:szCs w:val="21"/>
                      <w:highlight w:val="none"/>
                      <w:lang w:val="en-US" w:eastAsia="zh-CN" w:bidi="ar"/>
                      <w14:textFill>
                        <w14:solidFill>
                          <w14:schemeClr w14:val="tx1"/>
                        </w14:solidFill>
                      </w14:textFill>
                    </w:rPr>
                    <w:t>浓度（mgm</w:t>
                  </w:r>
                  <w:r>
                    <w:rPr>
                      <w:rFonts w:hint="eastAsia" w:ascii="Times New Roman" w:hAnsi="Times New Roman" w:cs="Times New Roman"/>
                      <w:b/>
                      <w:bCs/>
                      <w:color w:val="000000" w:themeColor="text1"/>
                      <w:kern w:val="0"/>
                      <w:szCs w:val="21"/>
                      <w:highlight w:val="none"/>
                      <w:vertAlign w:val="superscript"/>
                      <w:lang w:val="en-US" w:eastAsia="zh-CN" w:bidi="ar"/>
                      <w14:textFill>
                        <w14:solidFill>
                          <w14:schemeClr w14:val="tx1"/>
                        </w14:solidFill>
                      </w14:textFill>
                    </w:rPr>
                    <w:t>3</w:t>
                  </w:r>
                  <w:r>
                    <w:rPr>
                      <w:rFonts w:hint="eastAsia" w:ascii="Times New Roman" w:hAnsi="Times New Roman" w:cs="Times New Roman"/>
                      <w:b/>
                      <w:bCs/>
                      <w:color w:val="000000" w:themeColor="text1"/>
                      <w:kern w:val="0"/>
                      <w:szCs w:val="21"/>
                      <w:highlight w:val="none"/>
                      <w:lang w:val="en-US" w:eastAsia="zh-CN" w:bidi="ar"/>
                      <w14:textFill>
                        <w14:solidFill>
                          <w14:schemeClr w14:val="tx1"/>
                        </w14:solidFill>
                      </w14:textFill>
                    </w:rPr>
                    <w:t>）</w:t>
                  </w:r>
                </w:p>
              </w:tc>
              <w:tc>
                <w:tcPr>
                  <w:tcW w:w="1724" w:type="pct"/>
                  <w:vAlign w:val="center"/>
                </w:tcPr>
                <w:p>
                  <w:pPr>
                    <w:widowControl/>
                    <w:jc w:val="center"/>
                    <w:rPr>
                      <w:rFonts w:hint="eastAsia" w:ascii="Times New Roman" w:hAnsi="Times New Roman" w:cs="Times New Roman" w:eastAsiaTheme="minorEastAsia"/>
                      <w:b/>
                      <w:bCs/>
                      <w:color w:val="000000" w:themeColor="text1"/>
                      <w:kern w:val="0"/>
                      <w:szCs w:val="21"/>
                      <w:highlight w:val="none"/>
                      <w:lang w:eastAsia="zh-CN" w:bidi="ar"/>
                      <w14:textFill>
                        <w14:solidFill>
                          <w14:schemeClr w14:val="tx1"/>
                        </w14:solidFill>
                      </w14:textFill>
                    </w:rPr>
                  </w:pPr>
                  <w:r>
                    <w:rPr>
                      <w:rFonts w:hint="eastAsia" w:ascii="Times New Roman" w:hAnsi="Times New Roman" w:cs="Times New Roman"/>
                      <w:b/>
                      <w:bCs/>
                      <w:color w:val="000000" w:themeColor="text1"/>
                      <w:kern w:val="0"/>
                      <w:szCs w:val="21"/>
                      <w:highlight w:val="none"/>
                      <w:lang w:val="en-US" w:eastAsia="zh-CN" w:bidi="ar"/>
                      <w14:textFill>
                        <w14:solidFill>
                          <w14:schemeClr w14:val="tx1"/>
                        </w14:solidFill>
                      </w14:textFill>
                    </w:rPr>
                    <w:t>风量（m</w:t>
                  </w:r>
                  <w:r>
                    <w:rPr>
                      <w:rFonts w:hint="eastAsia" w:ascii="Times New Roman" w:hAnsi="Times New Roman" w:cs="Times New Roman"/>
                      <w:b/>
                      <w:bCs/>
                      <w:color w:val="000000" w:themeColor="text1"/>
                      <w:kern w:val="0"/>
                      <w:szCs w:val="21"/>
                      <w:highlight w:val="none"/>
                      <w:vertAlign w:val="superscript"/>
                      <w:lang w:val="en-US" w:eastAsia="zh-CN" w:bidi="ar"/>
                      <w14:textFill>
                        <w14:solidFill>
                          <w14:schemeClr w14:val="tx1"/>
                        </w14:solidFill>
                      </w14:textFill>
                    </w:rPr>
                    <w:t>3</w:t>
                  </w:r>
                  <w:r>
                    <w:rPr>
                      <w:rFonts w:hint="eastAsia" w:ascii="Times New Roman" w:hAnsi="Times New Roman" w:cs="Times New Roman"/>
                      <w:b/>
                      <w:bCs/>
                      <w:color w:val="000000" w:themeColor="text1"/>
                      <w:kern w:val="0"/>
                      <w:szCs w:val="21"/>
                      <w:highlight w:val="none"/>
                      <w:lang w:val="en-US" w:eastAsia="zh-CN" w:bidi="ar"/>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pct"/>
                  <w:vAlign w:val="center"/>
                </w:tcPr>
                <w:p>
                  <w:pPr>
                    <w:widowControl/>
                    <w:jc w:val="center"/>
                    <w:rPr>
                      <w:rFonts w:hint="eastAsia"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颗粒物</w:t>
                  </w:r>
                </w:p>
              </w:tc>
              <w:tc>
                <w:tcPr>
                  <w:tcW w:w="2150" w:type="pct"/>
                  <w:vAlign w:val="center"/>
                </w:tcPr>
                <w:p>
                  <w:pPr>
                    <w:widowControl/>
                    <w:adjustRightInd w:val="0"/>
                    <w:snapToGrid w:val="0"/>
                    <w:jc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23.88</w:t>
                  </w:r>
                </w:p>
              </w:tc>
              <w:tc>
                <w:tcPr>
                  <w:tcW w:w="1724" w:type="pct"/>
                  <w:vAlign w:val="center"/>
                </w:tcPr>
                <w:p>
                  <w:pPr>
                    <w:widowControl/>
                    <w:jc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122136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pct"/>
                  <w:vAlign w:val="center"/>
                </w:tcPr>
                <w:p>
                  <w:pPr>
                    <w:widowControl/>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ascii="Times New Roman" w:hAnsi="Times New Roman" w:cs="Times New Roman"/>
                      <w:color w:val="000000" w:themeColor="text1"/>
                      <w:kern w:val="0"/>
                      <w:szCs w:val="21"/>
                      <w:highlight w:val="none"/>
                      <w:lang w:bidi="ar"/>
                      <w14:textFill>
                        <w14:solidFill>
                          <w14:schemeClr w14:val="tx1"/>
                        </w14:solidFill>
                      </w14:textFill>
                    </w:rPr>
                    <w:t>二氧化硫</w:t>
                  </w:r>
                </w:p>
              </w:tc>
              <w:tc>
                <w:tcPr>
                  <w:tcW w:w="2150" w:type="pct"/>
                  <w:vAlign w:val="center"/>
                </w:tcPr>
                <w:p>
                  <w:pPr>
                    <w:widowControl/>
                    <w:adjustRightInd w:val="0"/>
                    <w:snapToGrid w:val="0"/>
                    <w:jc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1.28</w:t>
                  </w:r>
                </w:p>
              </w:tc>
              <w:tc>
                <w:tcPr>
                  <w:tcW w:w="1724" w:type="pct"/>
                  <w:vAlign w:val="center"/>
                </w:tcPr>
                <w:p>
                  <w:pPr>
                    <w:widowControl/>
                    <w:jc w:val="center"/>
                    <w:rPr>
                      <w:rFonts w:ascii="Times New Roman" w:hAnsi="Times New Roman" w:eastAsia="宋体" w:cs="Times New Roman"/>
                      <w:color w:val="000000" w:themeColor="text1"/>
                      <w:kern w:val="0"/>
                      <w:szCs w:val="21"/>
                      <w:highlight w:val="none"/>
                      <w:vertAlign w:val="superscript"/>
                      <w:lang w:bidi="ar"/>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122136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pct"/>
                  <w:vAlign w:val="center"/>
                </w:tcPr>
                <w:p>
                  <w:pPr>
                    <w:widowControl/>
                    <w:jc w:val="center"/>
                    <w:rPr>
                      <w:rFonts w:ascii="Times New Roman" w:hAnsi="Times New Roman" w:cs="Times New Roman"/>
                      <w:color w:val="000000" w:themeColor="text1"/>
                      <w:kern w:val="0"/>
                      <w:szCs w:val="21"/>
                      <w:highlight w:val="none"/>
                      <w:lang w:bidi="ar"/>
                      <w14:textFill>
                        <w14:solidFill>
                          <w14:schemeClr w14:val="tx1"/>
                        </w14:solidFill>
                      </w14:textFill>
                    </w:rPr>
                  </w:pPr>
                  <w:r>
                    <w:rPr>
                      <w:rFonts w:ascii="Times New Roman" w:hAnsi="Times New Roman" w:cs="Times New Roman"/>
                      <w:color w:val="000000" w:themeColor="text1"/>
                      <w:kern w:val="0"/>
                      <w:szCs w:val="21"/>
                      <w:highlight w:val="none"/>
                      <w:lang w:bidi="ar"/>
                      <w14:textFill>
                        <w14:solidFill>
                          <w14:schemeClr w14:val="tx1"/>
                        </w14:solidFill>
                      </w14:textFill>
                    </w:rPr>
                    <w:t>氮氧化物</w:t>
                  </w:r>
                </w:p>
              </w:tc>
              <w:tc>
                <w:tcPr>
                  <w:tcW w:w="2150" w:type="pct"/>
                  <w:vAlign w:val="center"/>
                </w:tcPr>
                <w:p>
                  <w:pPr>
                    <w:widowControl/>
                    <w:adjustRightInd w:val="0"/>
                    <w:snapToGrid w:val="0"/>
                    <w:jc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108.89</w:t>
                  </w:r>
                </w:p>
              </w:tc>
              <w:tc>
                <w:tcPr>
                  <w:tcW w:w="1724" w:type="pct"/>
                  <w:vAlign w:val="center"/>
                </w:tcPr>
                <w:p>
                  <w:pPr>
                    <w:widowControl/>
                    <w:jc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122136</w:t>
                  </w:r>
                </w:p>
              </w:tc>
            </w:tr>
          </w:tbl>
          <w:p>
            <w:pPr>
              <w:keepNext w:val="0"/>
              <w:keepLines w:val="0"/>
              <w:pageBreakBefore w:val="0"/>
              <w:widowControl w:val="0"/>
              <w:kinsoku/>
              <w:wordWrap/>
              <w:overflowPunct/>
              <w:topLinePunct w:val="0"/>
              <w:autoSpaceDE/>
              <w:autoSpaceDN/>
              <w:bidi w:val="0"/>
              <w:adjustRightInd/>
              <w:snapToGrid w:val="0"/>
              <w:spacing w:after="625" w:afterLines="200" w:line="360" w:lineRule="auto"/>
              <w:ind w:firstLine="480" w:firstLineChars="200"/>
              <w:textAlignment w:val="auto"/>
              <w:rPr>
                <w:rFonts w:hint="eastAsia" w:ascii="Times New Roman" w:hAnsi="Times New Roman"/>
                <w:color w:val="000000" w:themeColor="text1"/>
                <w:sz w:val="24"/>
                <w:highlight w:val="none"/>
                <w:lang w:val="en-US" w:eastAsia="zh-CN"/>
                <w14:textFill>
                  <w14:solidFill>
                    <w14:schemeClr w14:val="tx1"/>
                  </w14:solidFill>
                </w14:textFill>
              </w:rPr>
            </w:pPr>
            <w:r>
              <w:rPr>
                <w:rFonts w:hint="default" w:ascii="Times New Roman" w:hAnsi="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color w:val="000000" w:themeColor="text1"/>
                <w:sz w:val="24"/>
                <w:highlight w:val="none"/>
                <w:lang w:val="en-US" w:eastAsia="zh-CN"/>
                <w14:textFill>
                  <w14:solidFill>
                    <w14:schemeClr w14:val="tx1"/>
                  </w14:solidFill>
                </w14:textFill>
              </w:rPr>
              <w:t>废气源强核算</w:t>
            </w:r>
            <w:r>
              <w:rPr>
                <w:rFonts w:hint="default" w:ascii="Times New Roman" w:hAnsi="Times New Roman"/>
                <w:color w:val="000000" w:themeColor="text1"/>
                <w:sz w:val="24"/>
                <w:highlight w:val="none"/>
                <w:lang w:val="en-US" w:eastAsia="zh-CN"/>
                <w14:textFill>
                  <w14:solidFill>
                    <w14:schemeClr w14:val="tx1"/>
                  </w14:solidFill>
                </w14:textFill>
              </w:rPr>
              <w:t>情况详见下表</w:t>
            </w:r>
            <w:r>
              <w:rPr>
                <w:rFonts w:hint="eastAsia" w:ascii="Times New Roman" w:hAnsi="Times New Roman"/>
                <w:color w:val="000000" w:themeColor="text1"/>
                <w:sz w:val="24"/>
                <w:highlight w:val="none"/>
                <w:lang w:val="en-US" w:eastAsia="zh-CN"/>
                <w14:textFill>
                  <w14:solidFill>
                    <w14:schemeClr w14:val="tx1"/>
                  </w14:solidFill>
                </w14:textFill>
              </w:rPr>
              <w:t>。</w:t>
            </w:r>
          </w:p>
          <w:p>
            <w:pPr>
              <w:pStyle w:val="16"/>
              <w:rPr>
                <w:rFonts w:hint="eastAsia" w:ascii="Times New Roman" w:hAnsi="Times New Roman"/>
                <w:color w:val="000000" w:themeColor="text1"/>
                <w:sz w:val="24"/>
                <w:highlight w:val="none"/>
                <w:lang w:val="en-US" w:eastAsia="zh-CN"/>
                <w14:textFill>
                  <w14:solidFill>
                    <w14:schemeClr w14:val="tx1"/>
                  </w14:solidFill>
                </w14:textFill>
              </w:rPr>
            </w:pPr>
          </w:p>
          <w:p>
            <w:pPr>
              <w:pStyle w:val="16"/>
              <w:rPr>
                <w:rFonts w:hint="eastAsia" w:ascii="Times New Roman" w:hAnsi="Times New Roman"/>
                <w:color w:val="000000" w:themeColor="text1"/>
                <w:sz w:val="24"/>
                <w:highlight w:val="none"/>
                <w:lang w:val="en-US" w:eastAsia="zh-CN"/>
                <w14:textFill>
                  <w14:solidFill>
                    <w14:schemeClr w14:val="tx1"/>
                  </w14:solidFill>
                </w14:textFill>
              </w:rPr>
            </w:pPr>
          </w:p>
          <w:p>
            <w:pPr>
              <w:pStyle w:val="15"/>
              <w:widowControl w:val="0"/>
              <w:numPr>
                <w:ilvl w:val="0"/>
                <w:numId w:val="9"/>
              </w:numPr>
              <w:snapToGrid w:val="0"/>
              <w:ind w:leftChars="0" w:firstLine="0"/>
              <w:jc w:val="center"/>
              <w:rPr>
                <w:rFonts w:hint="default" w:ascii="Times New Roman" w:hAnsi="Times New Roman"/>
                <w:b/>
                <w:bCs/>
                <w:color w:val="000000" w:themeColor="text1"/>
                <w:sz w:val="21"/>
                <w:szCs w:val="21"/>
                <w:highlight w:val="none"/>
                <w14:textFill>
                  <w14:solidFill>
                    <w14:schemeClr w14:val="tx1"/>
                  </w14:solidFill>
                </w14:textFill>
              </w:rPr>
            </w:pPr>
            <w:r>
              <w:rPr>
                <w:rFonts w:hint="default" w:ascii="Times New Roman" w:hAnsi="Times New Roman"/>
                <w:b/>
                <w:bCs/>
                <w:color w:val="000000" w:themeColor="text1"/>
                <w:sz w:val="21"/>
                <w:szCs w:val="21"/>
                <w:highlight w:val="none"/>
                <w14:textFill>
                  <w14:solidFill>
                    <w14:schemeClr w14:val="tx1"/>
                  </w14:solidFill>
                </w14:textFill>
              </w:rPr>
              <w:t>污染物产生及排放情况表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7"/>
              <w:gridCol w:w="261"/>
              <w:gridCol w:w="249"/>
              <w:gridCol w:w="695"/>
              <w:gridCol w:w="891"/>
              <w:gridCol w:w="966"/>
              <w:gridCol w:w="929"/>
              <w:gridCol w:w="883"/>
              <w:gridCol w:w="680"/>
              <w:gridCol w:w="1044"/>
              <w:gridCol w:w="863"/>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70" w:type="pct"/>
                  <w:vMerge w:val="restar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产污节点</w:t>
                  </w:r>
                </w:p>
              </w:tc>
              <w:tc>
                <w:tcPr>
                  <w:tcW w:w="154" w:type="pct"/>
                  <w:vMerge w:val="restar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排放方式</w:t>
                  </w:r>
                </w:p>
              </w:tc>
              <w:tc>
                <w:tcPr>
                  <w:tcW w:w="147" w:type="pct"/>
                  <w:vMerge w:val="restart"/>
                  <w:shd w:val="clear" w:color="auto" w:fill="auto"/>
                  <w:vAlign w:val="center"/>
                </w:tcPr>
                <w:p>
                  <w:pPr>
                    <w:widowControl/>
                    <w:jc w:val="center"/>
                    <w:textAlignment w:val="cente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bidi="ar"/>
                      <w14:textFill>
                        <w14:solidFill>
                          <w14:schemeClr w14:val="tx1"/>
                        </w14:solidFill>
                      </w14:textFill>
                    </w:rPr>
                    <w:t>编号</w:t>
                  </w:r>
                </w:p>
              </w:tc>
              <w:tc>
                <w:tcPr>
                  <w:tcW w:w="411" w:type="pct"/>
                  <w:vMerge w:val="restar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污染因子</w:t>
                  </w:r>
                </w:p>
              </w:tc>
              <w:tc>
                <w:tcPr>
                  <w:tcW w:w="1647" w:type="pct"/>
                  <w:gridSpan w:val="3"/>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产生情况</w:t>
                  </w:r>
                </w:p>
              </w:tc>
              <w:tc>
                <w:tcPr>
                  <w:tcW w:w="924" w:type="pct"/>
                  <w:gridSpan w:val="2"/>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治理系统</w:t>
                  </w:r>
                </w:p>
              </w:tc>
              <w:tc>
                <w:tcPr>
                  <w:tcW w:w="1544" w:type="pct"/>
                  <w:gridSpan w:val="3"/>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70" w:type="pct"/>
                  <w:vMerge w:val="continue"/>
                  <w:shd w:val="clear" w:color="auto" w:fill="auto"/>
                  <w:vAlign w:val="center"/>
                </w:tcPr>
                <w:p>
                  <w:pPr>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154" w:type="pct"/>
                  <w:vMerge w:val="continue"/>
                  <w:shd w:val="clear" w:color="auto" w:fill="auto"/>
                  <w:vAlign w:val="center"/>
                </w:tcPr>
                <w:p>
                  <w:pPr>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147" w:type="pct"/>
                  <w:vMerge w:val="continue"/>
                  <w:shd w:val="clear" w:color="auto" w:fill="auto"/>
                  <w:vAlign w:val="center"/>
                </w:tcPr>
                <w:p>
                  <w:pPr>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411" w:type="pct"/>
                  <w:vMerge w:val="continue"/>
                  <w:shd w:val="clear" w:color="auto" w:fill="auto"/>
                  <w:vAlign w:val="center"/>
                </w:tcPr>
                <w:p>
                  <w:pPr>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527" w:type="pc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浓度（mg/m</w:t>
                  </w:r>
                  <w:r>
                    <w:rPr>
                      <w:rFonts w:ascii="Times New Roman" w:hAnsi="Times New Roman" w:eastAsia="宋体" w:cs="Times New Roman"/>
                      <w:b/>
                      <w:bCs/>
                      <w:color w:val="000000" w:themeColor="text1"/>
                      <w:kern w:val="0"/>
                      <w:sz w:val="21"/>
                      <w:szCs w:val="21"/>
                      <w:highlight w:val="none"/>
                      <w:vertAlign w:val="superscript"/>
                      <w:lang w:bidi="ar"/>
                      <w14:textFill>
                        <w14:solidFill>
                          <w14:schemeClr w14:val="tx1"/>
                        </w14:solidFill>
                      </w14:textFill>
                    </w:rPr>
                    <w:t>3</w:t>
                  </w: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w:t>
                  </w:r>
                </w:p>
              </w:tc>
              <w:tc>
                <w:tcPr>
                  <w:tcW w:w="571" w:type="pc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速率（kg/h）</w:t>
                  </w:r>
                </w:p>
              </w:tc>
              <w:tc>
                <w:tcPr>
                  <w:tcW w:w="548" w:type="pc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产生量（t/a）</w:t>
                  </w:r>
                </w:p>
              </w:tc>
              <w:tc>
                <w:tcPr>
                  <w:tcW w:w="522" w:type="pc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风量（m</w:t>
                  </w:r>
                  <w:r>
                    <w:rPr>
                      <w:rFonts w:ascii="Times New Roman" w:hAnsi="Times New Roman" w:eastAsia="宋体" w:cs="Times New Roman"/>
                      <w:b/>
                      <w:bCs/>
                      <w:color w:val="000000" w:themeColor="text1"/>
                      <w:kern w:val="0"/>
                      <w:sz w:val="21"/>
                      <w:szCs w:val="21"/>
                      <w:highlight w:val="none"/>
                      <w:vertAlign w:val="superscript"/>
                      <w:lang w:bidi="ar"/>
                      <w14:textFill>
                        <w14:solidFill>
                          <w14:schemeClr w14:val="tx1"/>
                        </w14:solidFill>
                      </w14:textFill>
                    </w:rPr>
                    <w:t>3</w:t>
                  </w: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/h）</w:t>
                  </w:r>
                </w:p>
              </w:tc>
              <w:tc>
                <w:tcPr>
                  <w:tcW w:w="402" w:type="pc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效率（%）</w:t>
                  </w:r>
                </w:p>
              </w:tc>
              <w:tc>
                <w:tcPr>
                  <w:tcW w:w="617" w:type="pc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浓度（mg/m</w:t>
                  </w:r>
                  <w:r>
                    <w:rPr>
                      <w:rFonts w:ascii="Times New Roman" w:hAnsi="Times New Roman" w:eastAsia="宋体" w:cs="Times New Roman"/>
                      <w:b/>
                      <w:bCs/>
                      <w:color w:val="000000" w:themeColor="text1"/>
                      <w:kern w:val="0"/>
                      <w:sz w:val="21"/>
                      <w:szCs w:val="21"/>
                      <w:highlight w:val="none"/>
                      <w:vertAlign w:val="superscript"/>
                      <w:lang w:bidi="ar"/>
                      <w14:textFill>
                        <w14:solidFill>
                          <w14:schemeClr w14:val="tx1"/>
                        </w14:solidFill>
                      </w14:textFill>
                    </w:rPr>
                    <w:t>3</w:t>
                  </w: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w:t>
                  </w:r>
                </w:p>
              </w:tc>
              <w:tc>
                <w:tcPr>
                  <w:tcW w:w="510" w:type="pc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速率（kg/h）</w:t>
                  </w:r>
                </w:p>
              </w:tc>
              <w:tc>
                <w:tcPr>
                  <w:tcW w:w="416" w:type="pct"/>
                  <w:shd w:val="clear" w:color="auto" w:fill="auto"/>
                  <w:vAlign w:val="center"/>
                </w:tcPr>
                <w:p>
                  <w:pPr>
                    <w:widowControl/>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lang w:bidi="ar"/>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70" w:type="pct"/>
                  <w:vMerge w:val="restart"/>
                  <w:shd w:val="clear" w:color="auto" w:fill="auto"/>
                  <w:vAlign w:val="center"/>
                </w:tcPr>
                <w:p>
                  <w:pPr>
                    <w:widowControl/>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干燥机</w:t>
                  </w:r>
                </w:p>
              </w:tc>
              <w:tc>
                <w:tcPr>
                  <w:tcW w:w="154" w:type="pct"/>
                  <w:vMerge w:val="restart"/>
                  <w:shd w:val="clear" w:color="auto" w:fill="auto"/>
                  <w:vAlign w:val="center"/>
                </w:tcPr>
                <w:p>
                  <w:pPr>
                    <w:widowControl/>
                    <w:jc w:val="center"/>
                    <w:textAlignment w:val="center"/>
                    <w:rPr>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有组织</w:t>
                  </w:r>
                </w:p>
              </w:tc>
              <w:tc>
                <w:tcPr>
                  <w:tcW w:w="147" w:type="pct"/>
                  <w:vMerge w:val="restart"/>
                  <w:shd w:val="clear" w:color="auto" w:fill="auto"/>
                  <w:vAlign w:val="center"/>
                </w:tcPr>
                <w:p>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bidi="ar"/>
                      <w14:textFill>
                        <w14:solidFill>
                          <w14:schemeClr w14:val="tx1"/>
                        </w14:solidFill>
                      </w14:textFill>
                    </w:rPr>
                    <w:t>DA00</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p>
              </w:tc>
              <w:tc>
                <w:tcPr>
                  <w:tcW w:w="411" w:type="pct"/>
                  <w:shd w:val="clear" w:color="auto" w:fill="auto"/>
                  <w:vAlign w:val="center"/>
                </w:tcPr>
                <w:p>
                  <w:pPr>
                    <w:widowControl/>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颗粒物</w:t>
                  </w:r>
                </w:p>
              </w:tc>
              <w:tc>
                <w:tcPr>
                  <w:tcW w:w="89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9552.00 </w:t>
                  </w:r>
                </w:p>
              </w:tc>
              <w:tc>
                <w:tcPr>
                  <w:tcW w:w="9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1166.64 </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7874.84 </w:t>
                  </w:r>
                </w:p>
              </w:tc>
              <w:tc>
                <w:tcPr>
                  <w:tcW w:w="883"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122136</w:t>
                  </w:r>
                </w:p>
              </w:tc>
              <w:tc>
                <w:tcPr>
                  <w:tcW w:w="68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99.75</w:t>
                  </w:r>
                </w:p>
              </w:tc>
              <w:tc>
                <w:tcPr>
                  <w:tcW w:w="104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23.88</w:t>
                  </w:r>
                </w:p>
              </w:tc>
              <w:tc>
                <w:tcPr>
                  <w:tcW w:w="8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2.92 </w:t>
                  </w:r>
                </w:p>
              </w:tc>
              <w:tc>
                <w:tcPr>
                  <w:tcW w:w="7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19.69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70" w:type="pct"/>
                  <w:vMerge w:val="continue"/>
                  <w:shd w:val="clear" w:color="auto" w:fill="auto"/>
                  <w:vAlign w:val="center"/>
                </w:tcPr>
                <w:p>
                  <w:pPr>
                    <w:widowControl/>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54" w:type="pct"/>
                  <w:vMerge w:val="continue"/>
                  <w:shd w:val="clear" w:color="auto" w:fill="auto"/>
                  <w:vAlign w:val="center"/>
                </w:tcPr>
                <w:p>
                  <w:pPr>
                    <w:widowControl/>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147" w:type="pct"/>
                  <w:vMerge w:val="continue"/>
                  <w:shd w:val="clear" w:color="auto" w:fill="auto"/>
                  <w:vAlign w:val="center"/>
                </w:tcPr>
                <w:p>
                  <w:pPr>
                    <w:widowControl/>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411" w:type="pct"/>
                  <w:shd w:val="clear" w:color="auto" w:fill="auto"/>
                  <w:vAlign w:val="center"/>
                </w:tcPr>
                <w:p>
                  <w:pPr>
                    <w:widowControl/>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SO</w:t>
                  </w:r>
                  <w:r>
                    <w:rPr>
                      <w:rFonts w:hint="eastAsia" w:ascii="Times New Roman" w:hAnsi="Times New Roman" w:cs="Times New Roman"/>
                      <w:color w:val="000000" w:themeColor="text1"/>
                      <w:sz w:val="21"/>
                      <w:szCs w:val="21"/>
                      <w:highlight w:val="none"/>
                      <w:vertAlign w:val="subscript"/>
                      <w14:textFill>
                        <w14:solidFill>
                          <w14:schemeClr w14:val="tx1"/>
                        </w14:solidFill>
                      </w14:textFill>
                    </w:rPr>
                    <w:t>2</w:t>
                  </w:r>
                </w:p>
              </w:tc>
              <w:tc>
                <w:tcPr>
                  <w:tcW w:w="89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1.28 </w:t>
                  </w:r>
                </w:p>
              </w:tc>
              <w:tc>
                <w:tcPr>
                  <w:tcW w:w="9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0.16 </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1.06 </w:t>
                  </w:r>
                </w:p>
              </w:tc>
              <w:tc>
                <w:tcPr>
                  <w:tcW w:w="883" w:type="dxa"/>
                  <w:vMerge w:val="continue"/>
                  <w:shd w:val="clear" w:color="auto" w:fill="auto"/>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8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4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1.28</w:t>
                  </w:r>
                </w:p>
              </w:tc>
              <w:tc>
                <w:tcPr>
                  <w:tcW w:w="8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0.16 </w:t>
                  </w:r>
                </w:p>
              </w:tc>
              <w:tc>
                <w:tcPr>
                  <w:tcW w:w="7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70" w:type="pct"/>
                  <w:vMerge w:val="continue"/>
                  <w:shd w:val="clear" w:color="auto" w:fill="auto"/>
                  <w:vAlign w:val="center"/>
                </w:tcPr>
                <w:p>
                  <w:pPr>
                    <w:widowControl/>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54" w:type="pct"/>
                  <w:vMerge w:val="continue"/>
                  <w:shd w:val="clear" w:color="auto" w:fill="auto"/>
                  <w:vAlign w:val="center"/>
                </w:tcPr>
                <w:p>
                  <w:pPr>
                    <w:widowControl/>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147" w:type="pct"/>
                  <w:vMerge w:val="continue"/>
                  <w:shd w:val="clear" w:color="auto" w:fill="auto"/>
                  <w:vAlign w:val="center"/>
                </w:tcPr>
                <w:p>
                  <w:pPr>
                    <w:widowControl/>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411" w:type="pct"/>
                  <w:shd w:val="clear" w:color="auto" w:fill="auto"/>
                  <w:vAlign w:val="center"/>
                </w:tcPr>
                <w:p>
                  <w:pPr>
                    <w:widowControl/>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NOx</w:t>
                  </w:r>
                </w:p>
              </w:tc>
              <w:tc>
                <w:tcPr>
                  <w:tcW w:w="89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362.97 </w:t>
                  </w:r>
                </w:p>
              </w:tc>
              <w:tc>
                <w:tcPr>
                  <w:tcW w:w="9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44.33 </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299.24 </w:t>
                  </w:r>
                </w:p>
              </w:tc>
              <w:tc>
                <w:tcPr>
                  <w:tcW w:w="883" w:type="dxa"/>
                  <w:vMerge w:val="continue"/>
                  <w:shd w:val="clear" w:color="auto" w:fill="auto"/>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8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04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108.89</w:t>
                  </w:r>
                </w:p>
              </w:tc>
              <w:tc>
                <w:tcPr>
                  <w:tcW w:w="8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13.30 </w:t>
                  </w:r>
                </w:p>
              </w:tc>
              <w:tc>
                <w:tcPr>
                  <w:tcW w:w="7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89.77 </w:t>
                  </w:r>
                </w:p>
              </w:tc>
            </w:tr>
          </w:tbl>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根据上表可计算颗粒物、二氧化硫</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氮氧化物的产生量分别为</w:t>
            </w:r>
            <w:r>
              <w:rPr>
                <w:rFonts w:hint="eastAsia" w:ascii="Times New Roman" w:hAnsi="Times New Roman" w:cs="Times New Roman"/>
                <w:color w:val="000000" w:themeColor="text1"/>
                <w:sz w:val="24"/>
                <w:highlight w:val="none"/>
                <w:lang w:val="en-US" w:eastAsia="zh-CN"/>
                <w14:textFill>
                  <w14:solidFill>
                    <w14:schemeClr w14:val="tx1"/>
                  </w14:solidFill>
                </w14:textFill>
              </w:rPr>
              <w:t>7874.84</w:t>
            </w:r>
            <w:r>
              <w:rPr>
                <w:rFonts w:hint="eastAsia" w:ascii="Times New Roman" w:hAnsi="Times New Roman" w:cs="Times New Roman"/>
                <w:color w:val="000000" w:themeColor="text1"/>
                <w:sz w:val="24"/>
                <w:highlight w:val="none"/>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1.06</w:t>
            </w:r>
            <w:r>
              <w:rPr>
                <w:rFonts w:hint="eastAsia" w:ascii="Times New Roman" w:hAnsi="Times New Roman" w:cs="Times New Roman"/>
                <w:color w:val="000000" w:themeColor="text1"/>
                <w:sz w:val="24"/>
                <w:highlight w:val="none"/>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299.24</w:t>
            </w:r>
            <w:r>
              <w:rPr>
                <w:rFonts w:hint="eastAsia" w:ascii="Times New Roman" w:hAnsi="Times New Roman" w:cs="Times New Roman"/>
                <w:color w:val="000000" w:themeColor="text1"/>
                <w:sz w:val="24"/>
                <w:highlight w:val="none"/>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风量为122136m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/h</w:t>
            </w:r>
            <w:r>
              <w:rPr>
                <w:rFonts w:hint="eastAsia" w:ascii="Times New Roman" w:hAnsi="Times New Roman" w:cs="Times New Roman"/>
                <w:color w:val="000000" w:themeColor="text1"/>
                <w:sz w:val="24"/>
                <w:highlight w:val="none"/>
                <w14:textFill>
                  <w14:solidFill>
                    <w14:schemeClr w14:val="tx1"/>
                  </w14:solidFill>
                </w14:textFill>
              </w:rPr>
              <w:t>，颗粒物、二氧化硫</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氮氧化物的产生浓度分别为</w:t>
            </w:r>
            <w:r>
              <w:rPr>
                <w:rFonts w:hint="eastAsia" w:ascii="Times New Roman" w:hAnsi="Times New Roman" w:cs="Times New Roman"/>
                <w:color w:val="000000" w:themeColor="text1"/>
                <w:sz w:val="24"/>
                <w:highlight w:val="none"/>
                <w:lang w:val="en-US" w:eastAsia="zh-CN"/>
                <w14:textFill>
                  <w14:solidFill>
                    <w14:schemeClr w14:val="tx1"/>
                  </w14:solidFill>
                </w14:textFill>
              </w:rPr>
              <w:t>9552.00</w:t>
            </w:r>
            <w:r>
              <w:rPr>
                <w:rFonts w:hint="eastAsia" w:ascii="Times New Roman" w:hAnsi="Times New Roman" w:cs="Times New Roman"/>
                <w:color w:val="000000" w:themeColor="text1"/>
                <w:sz w:val="24"/>
                <w:highlight w:val="none"/>
                <w14:textFill>
                  <w14:solidFill>
                    <w14:schemeClr w14:val="tx1"/>
                  </w14:solidFill>
                </w14:textFill>
              </w:rPr>
              <w:t>mg/m</w:t>
            </w:r>
            <w:r>
              <w:rPr>
                <w:rFonts w:hint="eastAsia"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1.28</w:t>
            </w:r>
            <w:r>
              <w:rPr>
                <w:rFonts w:hint="eastAsia" w:ascii="Times New Roman" w:hAnsi="Times New Roman" w:cs="Times New Roman"/>
                <w:color w:val="000000" w:themeColor="text1"/>
                <w:sz w:val="24"/>
                <w:highlight w:val="none"/>
                <w14:textFill>
                  <w14:solidFill>
                    <w14:schemeClr w14:val="tx1"/>
                  </w14:solidFill>
                </w14:textFill>
              </w:rPr>
              <w:t>mg/m</w:t>
            </w:r>
            <w:r>
              <w:rPr>
                <w:rFonts w:hint="eastAsia"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362.97</w:t>
            </w:r>
            <w:r>
              <w:rPr>
                <w:rFonts w:hint="eastAsia" w:ascii="Times New Roman" w:hAnsi="Times New Roman" w:cs="Times New Roman"/>
                <w:color w:val="000000" w:themeColor="text1"/>
                <w:sz w:val="24"/>
                <w:highlight w:val="none"/>
                <w14:textFill>
                  <w14:solidFill>
                    <w14:schemeClr w14:val="tx1"/>
                  </w14:solidFill>
                </w14:textFill>
              </w:rPr>
              <w:t>mg/m</w:t>
            </w:r>
            <w:r>
              <w:rPr>
                <w:rFonts w:hint="eastAsia"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烟气净化器除尘效率按75%计、旋风除尘器+湿式静电除尘系统除尘效率按99%计，</w:t>
            </w:r>
            <w:r>
              <w:rPr>
                <w:rFonts w:hint="eastAsia" w:ascii="Times New Roman" w:hAnsi="Times New Roman" w:cs="Times New Roman"/>
                <w:color w:val="000000" w:themeColor="text1"/>
                <w:sz w:val="24"/>
                <w:highlight w:val="none"/>
                <w:lang w:val="en-US" w:eastAsia="zh-CN"/>
                <w14:textFill>
                  <w14:solidFill>
                    <w14:schemeClr w14:val="tx1"/>
                  </w14:solidFill>
                </w14:textFill>
              </w:rPr>
              <w:t>总除尘效率为99.75%。</w:t>
            </w:r>
            <w:r>
              <w:rPr>
                <w:rFonts w:hint="eastAsia" w:ascii="Times New Roman" w:hAnsi="Times New Roman" w:cs="Times New Roman"/>
                <w:color w:val="000000" w:themeColor="text1"/>
                <w:sz w:val="24"/>
                <w:highlight w:val="none"/>
                <w14:textFill>
                  <w14:solidFill>
                    <w14:schemeClr w14:val="tx1"/>
                  </w14:solidFill>
                </w14:textFill>
              </w:rPr>
              <w:t>经除尘系统处理后</w:t>
            </w:r>
            <w:r>
              <w:rPr>
                <w:rFonts w:hint="default" w:ascii="Times New Roman" w:hAnsi="Times New Roman" w:cs="Times New Roman"/>
                <w:color w:val="000000" w:themeColor="text1"/>
                <w:sz w:val="24"/>
                <w:highlight w:val="none"/>
                <w14:textFill>
                  <w14:solidFill>
                    <w14:schemeClr w14:val="tx1"/>
                  </w14:solidFill>
                </w14:textFill>
              </w:rPr>
              <w:t>颗粒物</w:t>
            </w:r>
            <w:r>
              <w:rPr>
                <w:rFonts w:hint="eastAsia" w:ascii="Times New Roman" w:hAnsi="Times New Roman" w:cs="Times New Roman"/>
                <w:color w:val="000000" w:themeColor="text1"/>
                <w:sz w:val="24"/>
                <w:highlight w:val="none"/>
                <w14:textFill>
                  <w14:solidFill>
                    <w14:schemeClr w14:val="tx1"/>
                  </w14:solidFill>
                </w14:textFill>
              </w:rPr>
              <w:t>排放量</w:t>
            </w:r>
            <w:r>
              <w:rPr>
                <w:rFonts w:hint="eastAsia" w:ascii="Times New Roman" w:hAnsi="Times New Roman" w:cs="Times New Roman"/>
                <w:color w:val="000000" w:themeColor="text1"/>
                <w:sz w:val="24"/>
                <w:highlight w:val="none"/>
                <w:lang w:val="en-US" w:eastAsia="zh-CN"/>
                <w14:textFill>
                  <w14:solidFill>
                    <w14:schemeClr w14:val="tx1"/>
                  </w14:solidFill>
                </w14:textFill>
              </w:rPr>
              <w:t>19.69</w:t>
            </w:r>
            <w:r>
              <w:rPr>
                <w:rFonts w:hint="eastAsia" w:ascii="Times New Roman" w:hAnsi="Times New Roman" w:cs="Times New Roman"/>
                <w:color w:val="000000" w:themeColor="text1"/>
                <w:sz w:val="24"/>
                <w:highlight w:val="none"/>
                <w14:textFill>
                  <w14:solidFill>
                    <w14:schemeClr w14:val="tx1"/>
                  </w14:solidFill>
                </w14:textFill>
              </w:rPr>
              <w:t>t/a</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炉内SNCR脱硝设备氮氧化物去除率为70%，处理后氮氧化物排放量为89.77t/a。</w:t>
            </w:r>
            <w:r>
              <w:rPr>
                <w:rFonts w:hint="eastAsia" w:ascii="Times New Roman" w:hAnsi="Times New Roman" w:cs="Times New Roman"/>
                <w:color w:val="000000" w:themeColor="text1"/>
                <w:sz w:val="24"/>
                <w:highlight w:val="none"/>
                <w14:textFill>
                  <w14:solidFill>
                    <w14:schemeClr w14:val="tx1"/>
                  </w14:solidFill>
                </w14:textFill>
              </w:rPr>
              <w:t>颗粒物、二氧化硫</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氮氧化物的排放浓度分别为</w:t>
            </w:r>
            <w:r>
              <w:rPr>
                <w:rFonts w:hint="eastAsia" w:ascii="Times New Roman" w:hAnsi="Times New Roman" w:cs="Times New Roman"/>
                <w:color w:val="000000" w:themeColor="text1"/>
                <w:sz w:val="24"/>
                <w:highlight w:val="none"/>
                <w:lang w:val="en-US" w:eastAsia="zh-CN"/>
                <w14:textFill>
                  <w14:solidFill>
                    <w14:schemeClr w14:val="tx1"/>
                  </w14:solidFill>
                </w14:textFill>
              </w:rPr>
              <w:t>23.88</w:t>
            </w:r>
            <w:r>
              <w:rPr>
                <w:rFonts w:hint="eastAsia" w:ascii="Times New Roman" w:hAnsi="Times New Roman" w:cs="Times New Roman"/>
                <w:color w:val="000000" w:themeColor="text1"/>
                <w:sz w:val="24"/>
                <w:highlight w:val="none"/>
                <w14:textFill>
                  <w14:solidFill>
                    <w14:schemeClr w14:val="tx1"/>
                  </w14:solidFill>
                </w14:textFill>
              </w:rPr>
              <w:t>mg/m</w:t>
            </w:r>
            <w:r>
              <w:rPr>
                <w:rFonts w:hint="eastAsia"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1.28</w:t>
            </w:r>
            <w:r>
              <w:rPr>
                <w:rFonts w:hint="eastAsia" w:ascii="Times New Roman" w:hAnsi="Times New Roman" w:cs="Times New Roman"/>
                <w:color w:val="000000" w:themeColor="text1"/>
                <w:sz w:val="24"/>
                <w:highlight w:val="none"/>
                <w14:textFill>
                  <w14:solidFill>
                    <w14:schemeClr w14:val="tx1"/>
                  </w14:solidFill>
                </w14:textFill>
              </w:rPr>
              <w:t>mg/m</w:t>
            </w:r>
            <w:r>
              <w:rPr>
                <w:rFonts w:hint="eastAsia"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108.89</w:t>
            </w:r>
            <w:r>
              <w:rPr>
                <w:rFonts w:hint="eastAsia" w:ascii="Times New Roman" w:hAnsi="Times New Roman" w:cs="Times New Roman"/>
                <w:color w:val="000000" w:themeColor="text1"/>
                <w:sz w:val="24"/>
                <w:highlight w:val="none"/>
                <w14:textFill>
                  <w14:solidFill>
                    <w14:schemeClr w14:val="tx1"/>
                  </w14:solidFill>
                </w14:textFill>
              </w:rPr>
              <w:t>mg/m</w:t>
            </w:r>
            <w:r>
              <w:rPr>
                <w:rFonts w:hint="eastAsia"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w:t>
            </w:r>
          </w:p>
          <w:p>
            <w:pPr>
              <w:snapToGrid w:val="0"/>
              <w:spacing w:line="360" w:lineRule="auto"/>
              <w:ind w:firstLine="482" w:firstLineChars="200"/>
              <w:jc w:val="left"/>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ascii="Times New Roman" w:hAnsi="Times New Roman" w:cs="Times New Roman"/>
                <w:b/>
                <w:bCs/>
                <w:color w:val="000000" w:themeColor="text1"/>
                <w:sz w:val="24"/>
                <w:highlight w:val="none"/>
                <w14:textFill>
                  <w14:solidFill>
                    <w14:schemeClr w14:val="tx1"/>
                  </w14:solidFill>
                </w14:textFill>
              </w:rPr>
              <w:t>）污染治理设施</w:t>
            </w:r>
            <w:r>
              <w:rPr>
                <w:rFonts w:hint="eastAsia" w:ascii="Times New Roman" w:hAnsi="Times New Roman" w:cs="Times New Roman"/>
                <w:b/>
                <w:bCs/>
                <w:color w:val="000000" w:themeColor="text1"/>
                <w:sz w:val="24"/>
                <w:highlight w:val="none"/>
                <w14:textFill>
                  <w14:solidFill>
                    <w14:schemeClr w14:val="tx1"/>
                  </w14:solidFill>
                </w14:textFill>
              </w:rPr>
              <w:t>可行性</w:t>
            </w:r>
          </w:p>
          <w:p>
            <w:pPr>
              <w:spacing w:line="336"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热能中心产生的烟气经脱硝、除尘净化处理后，净化后的烟气作为洁净烟气用于干燥湿刨花，最终干燥机尾气经旋风除尘器和湿式静电除尘系统处理后通过1根55m高排气筒（3#排气筒）排放。</w:t>
            </w:r>
          </w:p>
          <w:p>
            <w:pPr>
              <w:spacing w:line="336" w:lineRule="auto"/>
              <w:ind w:firstLine="480" w:firstLineChars="200"/>
              <w:rPr>
                <w:rFonts w:hint="eastAsia"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项目大气污染治理设施详见下表</w:t>
            </w:r>
            <w:r>
              <w:rPr>
                <w:rFonts w:hint="eastAsia" w:ascii="Times New Roman" w:hAnsi="Times New Roman" w:cs="Times New Roman"/>
                <w:color w:val="000000" w:themeColor="text1"/>
                <w:sz w:val="24"/>
                <w:highlight w:val="none"/>
                <w14:textFill>
                  <w14:solidFill>
                    <w14:schemeClr w14:val="tx1"/>
                  </w14:solidFill>
                </w14:textFill>
              </w:rPr>
              <w:t>。</w:t>
            </w:r>
          </w:p>
          <w:p>
            <w:pPr>
              <w:pStyle w:val="15"/>
              <w:widowControl w:val="0"/>
              <w:numPr>
                <w:ilvl w:val="0"/>
                <w:numId w:val="9"/>
              </w:numPr>
              <w:snapToGrid w:val="0"/>
              <w:ind w:left="0" w:leftChars="0" w:firstLine="0"/>
              <w:jc w:val="center"/>
              <w:rPr>
                <w:rFonts w:hint="default" w:ascii="Times New Roman" w:hAnsi="Times New Roman"/>
                <w:b/>
                <w:color w:val="000000" w:themeColor="text1"/>
                <w:kern w:val="2"/>
                <w:sz w:val="21"/>
                <w:szCs w:val="21"/>
                <w:highlight w:val="none"/>
                <w14:textFill>
                  <w14:solidFill>
                    <w14:schemeClr w14:val="tx1"/>
                  </w14:solidFill>
                </w14:textFill>
              </w:rPr>
            </w:pPr>
            <w:r>
              <w:rPr>
                <w:rFonts w:ascii="Times New Roman" w:hAnsi="Times New Roman"/>
                <w:b/>
                <w:color w:val="000000" w:themeColor="text1"/>
                <w:kern w:val="2"/>
                <w:sz w:val="21"/>
                <w:szCs w:val="21"/>
                <w:highlight w:val="none"/>
                <w14:textFill>
                  <w14:solidFill>
                    <w14:schemeClr w14:val="tx1"/>
                  </w14:solidFill>
                </w14:textFill>
              </w:rPr>
              <w:t>大气污染物治理设施一览表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24"/>
              <w:gridCol w:w="2917"/>
              <w:gridCol w:w="967"/>
              <w:gridCol w:w="1026"/>
              <w:gridCol w:w="1255"/>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24" w:type="pc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产污节点</w:t>
                  </w:r>
                </w:p>
              </w:tc>
              <w:tc>
                <w:tcPr>
                  <w:tcW w:w="1725" w:type="pc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污染治理设施</w:t>
                  </w:r>
                </w:p>
              </w:tc>
              <w:tc>
                <w:tcPr>
                  <w:tcW w:w="572" w:type="pc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治理设施编号</w:t>
                  </w:r>
                </w:p>
              </w:tc>
              <w:tc>
                <w:tcPr>
                  <w:tcW w:w="607" w:type="pc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收集效率（%）</w:t>
                  </w:r>
                </w:p>
              </w:tc>
              <w:tc>
                <w:tcPr>
                  <w:tcW w:w="742" w:type="pc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治理工艺去除率（%）</w:t>
                  </w:r>
                </w:p>
              </w:tc>
              <w:tc>
                <w:tcPr>
                  <w:tcW w:w="627" w:type="pc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24" w:type="pct"/>
                  <w:vMerge w:val="restar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热能中心</w:t>
                  </w:r>
                </w:p>
              </w:tc>
              <w:tc>
                <w:tcPr>
                  <w:tcW w:w="1725" w:type="pct"/>
                  <w:vAlign w:val="center"/>
                </w:tcPr>
                <w:p>
                  <w:pPr>
                    <w:snapToGrid w:val="0"/>
                    <w:jc w:val="center"/>
                    <w:rPr>
                      <w:rFonts w:hint="default" w:ascii="Times New Roman" w:hAnsi="Times New Roman" w:cs="Times New Roman" w:eastAsiaTheme="minorEastAsia"/>
                      <w:bCs/>
                      <w:color w:val="000000" w:themeColor="text1"/>
                      <w:spacing w:val="9"/>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旋风除尘器</w:t>
                  </w:r>
                </w:p>
              </w:tc>
              <w:tc>
                <w:tcPr>
                  <w:tcW w:w="572" w:type="pct"/>
                  <w:vAlign w:val="center"/>
                </w:tcPr>
                <w:p>
                  <w:pPr>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TA00</w:t>
                  </w: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607"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100</w:t>
                  </w:r>
                </w:p>
              </w:tc>
              <w:tc>
                <w:tcPr>
                  <w:tcW w:w="742" w:type="pct"/>
                  <w:vAlign w:val="center"/>
                </w:tcPr>
                <w:p>
                  <w:pPr>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75</w:t>
                  </w:r>
                </w:p>
              </w:tc>
              <w:tc>
                <w:tcPr>
                  <w:tcW w:w="627"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24" w:type="pct"/>
                  <w:vMerge w:val="continue"/>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725" w:type="pct"/>
                  <w:vAlign w:val="center"/>
                </w:tcPr>
                <w:p>
                  <w:pPr>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脱硝</w:t>
                  </w:r>
                  <w:r>
                    <w:rPr>
                      <w:rFonts w:hint="eastAsia" w:ascii="Times New Roman" w:hAnsi="Times New Roman" w:cs="Times New Roman"/>
                      <w:color w:val="000000" w:themeColor="text1"/>
                      <w:szCs w:val="21"/>
                      <w:highlight w:val="none"/>
                      <w:lang w:val="en-US" w:eastAsia="zh-CN"/>
                      <w14:textFill>
                        <w14:solidFill>
                          <w14:schemeClr w14:val="tx1"/>
                        </w14:solidFill>
                      </w14:textFill>
                    </w:rPr>
                    <w:t>设备</w:t>
                  </w:r>
                </w:p>
              </w:tc>
              <w:tc>
                <w:tcPr>
                  <w:tcW w:w="572" w:type="pct"/>
                  <w:vAlign w:val="center"/>
                </w:tcPr>
                <w:p>
                  <w:pPr>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TA00</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p>
              </w:tc>
              <w:tc>
                <w:tcPr>
                  <w:tcW w:w="607"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100</w:t>
                  </w:r>
                </w:p>
              </w:tc>
              <w:tc>
                <w:tcPr>
                  <w:tcW w:w="742"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70</w:t>
                  </w:r>
                </w:p>
              </w:tc>
              <w:tc>
                <w:tcPr>
                  <w:tcW w:w="627"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24" w:type="pct"/>
                  <w:vAlign w:val="center"/>
                </w:tcPr>
                <w:p>
                  <w:pPr>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干燥机</w:t>
                  </w:r>
                </w:p>
              </w:tc>
              <w:tc>
                <w:tcPr>
                  <w:tcW w:w="1725" w:type="pct"/>
                  <w:vAlign w:val="center"/>
                </w:tcPr>
                <w:p>
                  <w:pPr>
                    <w:snapToGrid w:val="0"/>
                    <w:jc w:val="center"/>
                    <w:rPr>
                      <w:rFonts w:hint="default" w:ascii="Times New Roman" w:hAnsi="Times New Roman" w:cs="Times New Roman" w:eastAsiaTheme="minorEastAsia"/>
                      <w:bCs/>
                      <w:color w:val="000000" w:themeColor="text1"/>
                      <w:spacing w:val="9"/>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旋风除尘器+</w:t>
                  </w:r>
                  <w:r>
                    <w:rPr>
                      <w:rFonts w:ascii="Times New Roman" w:hAnsi="Times New Roman" w:cs="Times New Roman"/>
                      <w:color w:val="000000" w:themeColor="text1"/>
                      <w:szCs w:val="21"/>
                      <w:highlight w:val="none"/>
                      <w14:textFill>
                        <w14:solidFill>
                          <w14:schemeClr w14:val="tx1"/>
                        </w14:solidFill>
                      </w14:textFill>
                    </w:rPr>
                    <w:t>湿式静电除尘器</w:t>
                  </w:r>
                </w:p>
              </w:tc>
              <w:tc>
                <w:tcPr>
                  <w:tcW w:w="572" w:type="pct"/>
                  <w:vAlign w:val="center"/>
                </w:tcPr>
                <w:p>
                  <w:pPr>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TA00</w:t>
                  </w:r>
                  <w:r>
                    <w:rPr>
                      <w:rFonts w:hint="eastAsia" w:ascii="Times New Roman" w:hAnsi="Times New Roman" w:cs="Times New Roman"/>
                      <w:color w:val="000000" w:themeColor="text1"/>
                      <w:szCs w:val="21"/>
                      <w:highlight w:val="none"/>
                      <w:lang w:val="en-US" w:eastAsia="zh-CN"/>
                      <w14:textFill>
                        <w14:solidFill>
                          <w14:schemeClr w14:val="tx1"/>
                        </w14:solidFill>
                      </w14:textFill>
                    </w:rPr>
                    <w:t>3</w:t>
                  </w:r>
                </w:p>
              </w:tc>
              <w:tc>
                <w:tcPr>
                  <w:tcW w:w="607"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100</w:t>
                  </w:r>
                </w:p>
              </w:tc>
              <w:tc>
                <w:tcPr>
                  <w:tcW w:w="742"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99</w:t>
                  </w:r>
                </w:p>
              </w:tc>
              <w:tc>
                <w:tcPr>
                  <w:tcW w:w="627"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是</w:t>
                  </w:r>
                </w:p>
              </w:tc>
            </w:tr>
          </w:tbl>
          <w:p>
            <w:pPr>
              <w:spacing w:line="360" w:lineRule="auto"/>
              <w:ind w:firstLine="480" w:firstLineChars="200"/>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①</w:t>
            </w:r>
            <w:r>
              <w:rPr>
                <w:rFonts w:hint="eastAsia" w:ascii="Times New Roman" w:hAnsi="Times New Roman" w:cs="Times New Roman"/>
                <w:color w:val="000000" w:themeColor="text1"/>
                <w:sz w:val="24"/>
                <w:highlight w:val="none"/>
                <w14:textFill>
                  <w14:solidFill>
                    <w14:schemeClr w14:val="tx1"/>
                  </w14:solidFill>
                </w14:textFill>
              </w:rPr>
              <w:t>SNCR工艺原理</w:t>
            </w:r>
          </w:p>
          <w:p>
            <w:pPr>
              <w:spacing w:line="360" w:lineRule="auto"/>
              <w:ind w:firstLine="480" w:firstLineChars="200"/>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选择性非催化还原技术是一种不使用催化剂，在850～1100℃温度范围内还原NOx的方法。该技术是用NH</w:t>
            </w:r>
            <w:r>
              <w:rPr>
                <w:rFonts w:hint="eastAsia" w:ascii="Times New Roman" w:hAnsi="Times New Roman" w:cs="Times New Roman"/>
                <w:color w:val="000000" w:themeColor="text1"/>
                <w:sz w:val="24"/>
                <w:highlight w:val="none"/>
                <w:vertAlign w:val="sub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还原剂喷入炉内与NOx进行选择性反应，因此，必须在高温区加入还原剂。还原剂喷入炉膛中，该还原剂迅速热分解成NH</w:t>
            </w:r>
            <w:r>
              <w:rPr>
                <w:rFonts w:hint="eastAsia" w:ascii="Times New Roman" w:hAnsi="Times New Roman" w:cs="Times New Roman"/>
                <w:color w:val="000000" w:themeColor="text1"/>
                <w:sz w:val="24"/>
                <w:highlight w:val="none"/>
                <w:vertAlign w:val="sub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并与烟气中的NOx进行选择性非催化还原反应生成N</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。NH</w:t>
            </w:r>
            <w:r>
              <w:rPr>
                <w:rFonts w:hint="eastAsia" w:ascii="Times New Roman" w:hAnsi="Times New Roman" w:cs="Times New Roman"/>
                <w:color w:val="000000" w:themeColor="text1"/>
                <w:sz w:val="24"/>
                <w:highlight w:val="none"/>
                <w:vertAlign w:val="sub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还原NO</w:t>
            </w:r>
            <w:r>
              <w:rPr>
                <w:rFonts w:hint="eastAsia" w:ascii="Times New Roman" w:hAnsi="Times New Roman" w:cs="Times New Roman"/>
                <w:color w:val="000000" w:themeColor="text1"/>
                <w:sz w:val="24"/>
                <w:highlight w:val="none"/>
                <w:vertAlign w:val="subscript"/>
                <w14:textFill>
                  <w14:solidFill>
                    <w14:schemeClr w14:val="tx1"/>
                  </w14:solidFill>
                </w14:textFill>
              </w:rPr>
              <w:t>X</w:t>
            </w:r>
            <w:r>
              <w:rPr>
                <w:rFonts w:hint="eastAsia" w:ascii="Times New Roman" w:hAnsi="Times New Roman" w:cs="Times New Roman"/>
                <w:color w:val="000000" w:themeColor="text1"/>
                <w:sz w:val="24"/>
                <w:highlight w:val="none"/>
                <w14:textFill>
                  <w14:solidFill>
                    <w14:schemeClr w14:val="tx1"/>
                  </w14:solidFill>
                </w14:textFill>
              </w:rPr>
              <w:t>的主要反应为：</w:t>
            </w:r>
          </w:p>
          <w:p>
            <w:pPr>
              <w:spacing w:line="360" w:lineRule="auto"/>
              <w:ind w:firstLine="480" w:firstLineChars="200"/>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NH</w:t>
            </w:r>
            <w:r>
              <w:rPr>
                <w:rFonts w:hint="eastAsia" w:ascii="Times New Roman" w:hAnsi="Times New Roman" w:cs="Times New Roman"/>
                <w:color w:val="000000" w:themeColor="text1"/>
                <w:sz w:val="24"/>
                <w:highlight w:val="none"/>
                <w:vertAlign w:val="sub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为还原剂：4NH</w:t>
            </w:r>
            <w:r>
              <w:rPr>
                <w:rFonts w:hint="eastAsia" w:ascii="Times New Roman" w:hAnsi="Times New Roman" w:cs="Times New Roman"/>
                <w:color w:val="000000" w:themeColor="text1"/>
                <w:sz w:val="24"/>
                <w:highlight w:val="none"/>
                <w:vertAlign w:val="sub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+4NO+O</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→4N</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+6H</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O</w:t>
            </w:r>
          </w:p>
          <w:p>
            <w:pPr>
              <w:spacing w:line="360" w:lineRule="auto"/>
              <w:ind w:firstLine="480" w:firstLineChars="200"/>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当温度高于1150℃时，NH</w:t>
            </w:r>
            <w:r>
              <w:rPr>
                <w:rFonts w:hint="eastAsia" w:ascii="Times New Roman" w:hAnsi="Times New Roman" w:cs="Times New Roman"/>
                <w:color w:val="000000" w:themeColor="text1"/>
                <w:sz w:val="24"/>
                <w:highlight w:val="none"/>
                <w:vertAlign w:val="sub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则会被氧化为：4NH</w:t>
            </w:r>
            <w:r>
              <w:rPr>
                <w:rFonts w:hint="eastAsia" w:ascii="Times New Roman" w:hAnsi="Times New Roman" w:cs="Times New Roman"/>
                <w:color w:val="000000" w:themeColor="text1"/>
                <w:sz w:val="24"/>
                <w:highlight w:val="none"/>
                <w:vertAlign w:val="subscript"/>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+5O</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→4NO+6H</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O</w:t>
            </w:r>
          </w:p>
          <w:p>
            <w:pPr>
              <w:spacing w:line="360" w:lineRule="auto"/>
              <w:ind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该工艺由于没有副产物，不会形成二次污染，装置结构简单，脱除效率高，近几年来在我国发展较快，已成为应用最广泛的技术之一。</w:t>
            </w:r>
            <w:r>
              <w:rPr>
                <w:rFonts w:hint="eastAsia" w:ascii="Times New Roman" w:hAnsi="Times New Roman" w:eastAsia="宋体" w:cs="Times New Roman"/>
                <w:color w:val="000000" w:themeColor="text1"/>
                <w:sz w:val="24"/>
                <w:highlight w:val="none"/>
                <w14:textFill>
                  <w14:solidFill>
                    <w14:schemeClr w14:val="tx1"/>
                  </w14:solidFill>
                </w14:textFill>
              </w:rPr>
              <w:t xml:space="preserve">参照《排污许可证申请与核发技术规范 </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人造板工业</w:t>
            </w:r>
            <w:r>
              <w:rPr>
                <w:rFonts w:hint="eastAsia" w:ascii="Times New Roman" w:hAnsi="Times New Roman" w:eastAsia="宋体" w:cs="Times New Roman"/>
                <w:color w:val="000000" w:themeColor="text1"/>
                <w:sz w:val="24"/>
                <w:highlight w:val="none"/>
                <w14:textFill>
                  <w14:solidFill>
                    <w14:schemeClr w14:val="tx1"/>
                  </w14:solidFill>
                </w14:textFill>
              </w:rPr>
              <w:t>》（HJ</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1032-2019</w:t>
            </w:r>
            <w:r>
              <w:rPr>
                <w:rFonts w:hint="eastAsia" w:ascii="Times New Roman" w:hAnsi="Times New Roman" w:eastAsia="宋体" w:cs="Times New Roman"/>
                <w:color w:val="000000" w:themeColor="text1"/>
                <w:sz w:val="24"/>
                <w:highlight w:val="none"/>
                <w14:textFill>
                  <w14:solidFill>
                    <w14:schemeClr w14:val="tx1"/>
                  </w14:solidFill>
                </w14:textFill>
              </w:rPr>
              <w:t>）附录A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.1废气污染可行技术参考表</w:t>
            </w:r>
            <w:r>
              <w:rPr>
                <w:rFonts w:hint="eastAsia" w:ascii="Times New Roman" w:hAnsi="Times New Roman" w:eastAsia="宋体" w:cs="Times New Roman"/>
                <w:color w:val="000000" w:themeColor="text1"/>
                <w:sz w:val="24"/>
                <w:highlight w:val="none"/>
                <w14:textFill>
                  <w14:solidFill>
                    <w14:schemeClr w14:val="tx1"/>
                  </w14:solidFill>
                </w14:textFill>
              </w:rPr>
              <w:t>，本项目采用</w:t>
            </w:r>
            <w:r>
              <w:rPr>
                <w:rFonts w:hint="eastAsia" w:ascii="Times New Roman" w:hAnsi="Times New Roman" w:cs="Times New Roman"/>
                <w:color w:val="000000" w:themeColor="text1"/>
                <w:sz w:val="24"/>
                <w:highlight w:val="none"/>
                <w14:textFill>
                  <w14:solidFill>
                    <w14:schemeClr w14:val="tx1"/>
                  </w14:solidFill>
                </w14:textFill>
              </w:rPr>
              <w:t>SNCR脱硝</w:t>
            </w:r>
            <w:r>
              <w:rPr>
                <w:rFonts w:hint="eastAsia" w:ascii="Times New Roman" w:hAnsi="Times New Roman" w:cs="Times New Roman"/>
                <w:color w:val="000000" w:themeColor="text1"/>
                <w:sz w:val="24"/>
                <w:highlight w:val="none"/>
                <w:lang w:val="en-US" w:eastAsia="zh-CN"/>
                <w14:textFill>
                  <w14:solidFill>
                    <w14:schemeClr w14:val="tx1"/>
                  </w14:solidFill>
                </w14:textFill>
              </w:rPr>
              <w:t>设备</w:t>
            </w:r>
            <w:r>
              <w:rPr>
                <w:rFonts w:hint="eastAsia" w:ascii="Times New Roman" w:hAnsi="Times New Roman" w:eastAsia="宋体" w:cs="Times New Roman"/>
                <w:color w:val="000000" w:themeColor="text1"/>
                <w:sz w:val="24"/>
                <w:highlight w:val="none"/>
                <w14:textFill>
                  <w14:solidFill>
                    <w14:schemeClr w14:val="tx1"/>
                  </w14:solidFill>
                </w14:textFill>
              </w:rPr>
              <w:t>为可行技术</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②旋风除尘器：</w:t>
            </w:r>
            <w:r>
              <w:rPr>
                <w:rFonts w:hint="eastAsia" w:ascii="Times New Roman" w:hAnsi="Times New Roman" w:cs="Times New Roman"/>
                <w:color w:val="000000" w:themeColor="text1"/>
                <w:sz w:val="24"/>
                <w:highlight w:val="none"/>
                <w14:textFill>
                  <w14:solidFill>
                    <w14:schemeClr w14:val="tx1"/>
                  </w14:solidFill>
                </w14:textFill>
              </w:rPr>
              <w:t>烟气净化器</w:t>
            </w:r>
            <w:r>
              <w:rPr>
                <w:rFonts w:hint="eastAsia" w:ascii="Times New Roman" w:hAnsi="Times New Roman" w:cs="Times New Roman"/>
                <w:color w:val="000000" w:themeColor="text1"/>
                <w:sz w:val="24"/>
                <w:highlight w:val="none"/>
                <w:lang w:val="en-US" w:eastAsia="zh-CN"/>
                <w14:textFill>
                  <w14:solidFill>
                    <w14:schemeClr w14:val="tx1"/>
                  </w14:solidFill>
                </w14:textFill>
              </w:rPr>
              <w:t>主要为旋风除尘器，旋风除尘器是由进气管、排气管、圆筒体、圆锥体和灰斗组成。旋风除尘器结构简单，易于制造、安装和维护管理，设备投资和操作费用都较低，已广泛用于从气流中分离固体和液体粒子，或从液体中分离固体粒子。在普通操作条件下，作用于粒子上的离心力是重力的5~2500倍，所以旋风除尘器的效率显著高于重力沉降室。利用这一个原理基础成功研究出了一款除尘效率为90%以上的旋风</w:t>
            </w:r>
            <w:r>
              <w:rPr>
                <w:rFonts w:hint="eastAsia" w:ascii="Times New Roman" w:hAnsi="Times New Roman"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sz w:val="24"/>
                <w:highlight w:val="none"/>
                <w:lang w:val="en-US" w:eastAsia="zh-CN"/>
                <w14:textFill>
                  <w14:solidFill>
                    <w14:schemeClr w14:val="tx1"/>
                  </w14:solidFill>
                </w14:textFill>
              </w:rPr>
              <w:instrText xml:space="preserve"> HYPERLINK "https://baike.so.com/doc/6303144-6516668.html" \t "https://baike.so.com/doc/_blank" </w:instrText>
            </w:r>
            <w:r>
              <w:rPr>
                <w:rFonts w:hint="eastAsia" w:ascii="Times New Roman" w:hAnsi="Times New Roman"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sz w:val="24"/>
                <w:highlight w:val="none"/>
                <w:lang w:val="en-US" w:eastAsia="zh-CN"/>
                <w14:textFill>
                  <w14:solidFill>
                    <w14:schemeClr w14:val="tx1"/>
                  </w14:solidFill>
                </w14:textFill>
              </w:rPr>
              <w:t>除尘装置</w:t>
            </w:r>
            <w:r>
              <w:rPr>
                <w:rFonts w:hint="eastAsia" w:ascii="Times New Roman" w:hAnsi="Times New Roman"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sz w:val="24"/>
                <w:highlight w:val="none"/>
                <w:lang w:val="en-US" w:eastAsia="zh-CN"/>
                <w14:textFill>
                  <w14:solidFill>
                    <w14:schemeClr w14:val="tx1"/>
                  </w14:solidFill>
                </w14:textFill>
              </w:rPr>
              <w:t>。在</w:t>
            </w:r>
            <w:r>
              <w:rPr>
                <w:rFonts w:hint="eastAsia" w:ascii="Times New Roman" w:hAnsi="Times New Roman"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sz w:val="24"/>
                <w:highlight w:val="none"/>
                <w:lang w:val="en-US" w:eastAsia="zh-CN"/>
                <w14:textFill>
                  <w14:solidFill>
                    <w14:schemeClr w14:val="tx1"/>
                  </w14:solidFill>
                </w14:textFill>
              </w:rPr>
              <w:instrText xml:space="preserve"> HYPERLINK "https://baike.so.com/doc/2344624-2479532.html" \t "https://baike.so.com/doc/_blank" </w:instrText>
            </w:r>
            <w:r>
              <w:rPr>
                <w:rFonts w:hint="eastAsia" w:ascii="Times New Roman" w:hAnsi="Times New Roman"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sz w:val="24"/>
                <w:highlight w:val="none"/>
                <w:lang w:val="en-US" w:eastAsia="zh-CN"/>
                <w14:textFill>
                  <w14:solidFill>
                    <w14:schemeClr w14:val="tx1"/>
                  </w14:solidFill>
                </w14:textFill>
              </w:rPr>
              <w:t>机械式除尘器</w:t>
            </w:r>
            <w:r>
              <w:rPr>
                <w:rFonts w:hint="eastAsia" w:ascii="Times New Roman" w:hAnsi="Times New Roman"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sz w:val="24"/>
                <w:highlight w:val="none"/>
                <w:lang w:val="en-US" w:eastAsia="zh-CN"/>
                <w14:textFill>
                  <w14:solidFill>
                    <w14:schemeClr w14:val="tx1"/>
                  </w14:solidFill>
                </w14:textFill>
              </w:rPr>
              <w:t>中，旋风式除尘器是效率最高的一种。它适用于非黏性及非纤维性粉尘的去除，大多用来去除5</w:t>
            </w:r>
            <w:r>
              <w:rPr>
                <w:rFonts w:hint="default" w:ascii="Times New Roman" w:hAnsi="Times New Roman" w:cs="Times New Roman"/>
                <w:color w:val="000000" w:themeColor="text1"/>
                <w:sz w:val="24"/>
                <w:highlight w:val="none"/>
                <w:lang w:val="en-US" w:eastAsia="zh-CN"/>
                <w14:textFill>
                  <w14:solidFill>
                    <w14:schemeClr w14:val="tx1"/>
                  </w14:solidFill>
                </w14:textFill>
              </w:rPr>
              <w:t>μm</w:t>
            </w:r>
            <w:r>
              <w:rPr>
                <w:rFonts w:hint="eastAsia" w:ascii="Times New Roman" w:hAnsi="Times New Roman" w:cs="Times New Roman"/>
                <w:color w:val="000000" w:themeColor="text1"/>
                <w:sz w:val="24"/>
                <w:highlight w:val="none"/>
                <w:lang w:val="en-US" w:eastAsia="zh-CN"/>
                <w14:textFill>
                  <w14:solidFill>
                    <w14:schemeClr w14:val="tx1"/>
                  </w14:solidFill>
                </w14:textFill>
              </w:rPr>
              <w:t>以上的粒子，并联的多管旋风除尘器装置对3</w:t>
            </w:r>
            <w:r>
              <w:rPr>
                <w:rFonts w:hint="default" w:ascii="Times New Roman" w:hAnsi="Times New Roman" w:cs="Times New Roman"/>
                <w:color w:val="000000" w:themeColor="text1"/>
                <w:sz w:val="24"/>
                <w:highlight w:val="none"/>
                <w:lang w:val="en-US" w:eastAsia="zh-CN"/>
                <w14:textFill>
                  <w14:solidFill>
                    <w14:schemeClr w14:val="tx1"/>
                  </w14:solidFill>
                </w14:textFill>
              </w:rPr>
              <w:t>μm</w:t>
            </w:r>
            <w:r>
              <w:rPr>
                <w:rFonts w:hint="eastAsia" w:ascii="Times New Roman" w:hAnsi="Times New Roman" w:cs="Times New Roman"/>
                <w:color w:val="000000" w:themeColor="text1"/>
                <w:sz w:val="24"/>
                <w:highlight w:val="none"/>
                <w:lang w:val="en-US" w:eastAsia="zh-CN"/>
                <w14:textFill>
                  <w14:solidFill>
                    <w14:schemeClr w14:val="tx1"/>
                  </w14:solidFill>
                </w14:textFill>
              </w:rPr>
              <w:t>的粒子也具有80~85%的除尘效率。选用耐高温、耐磨蚀和腐蚀的特种金属或陶瓷材料构造的旋风除尘器，可在温度高达1000℃，压力达500×105Pa的条件下操作。从技术、经济诸方面考虑旋风除尘器压力损失控制范围一般为500~2000Pa。因此，它属于中效除尘器，且可用于高温烟气的净化，是应用广泛的一种除尘器，多应用于锅炉烟气除尘。</w:t>
            </w:r>
            <w:r>
              <w:rPr>
                <w:rFonts w:hint="eastAsia" w:ascii="Times New Roman" w:hAnsi="Times New Roman" w:eastAsia="宋体" w:cs="Times New Roman"/>
                <w:color w:val="000000" w:themeColor="text1"/>
                <w:sz w:val="24"/>
                <w:highlight w:val="none"/>
                <w14:textFill>
                  <w14:solidFill>
                    <w14:schemeClr w14:val="tx1"/>
                  </w14:solidFill>
                </w14:textFill>
              </w:rPr>
              <w:t xml:space="preserve">参照《排污许可证申请与核发技术规范 </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人造板工业</w:t>
            </w:r>
            <w:r>
              <w:rPr>
                <w:rFonts w:hint="eastAsia" w:ascii="Times New Roman" w:hAnsi="Times New Roman" w:eastAsia="宋体" w:cs="Times New Roman"/>
                <w:color w:val="000000" w:themeColor="text1"/>
                <w:sz w:val="24"/>
                <w:highlight w:val="none"/>
                <w14:textFill>
                  <w14:solidFill>
                    <w14:schemeClr w14:val="tx1"/>
                  </w14:solidFill>
                </w14:textFill>
              </w:rPr>
              <w:t>》（HJ</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1032-2019</w:t>
            </w:r>
            <w:r>
              <w:rPr>
                <w:rFonts w:hint="eastAsia" w:ascii="Times New Roman" w:hAnsi="Times New Roman" w:eastAsia="宋体" w:cs="Times New Roman"/>
                <w:color w:val="000000" w:themeColor="text1"/>
                <w:sz w:val="24"/>
                <w:highlight w:val="none"/>
                <w14:textFill>
                  <w14:solidFill>
                    <w14:schemeClr w14:val="tx1"/>
                  </w14:solidFill>
                </w14:textFill>
              </w:rPr>
              <w:t>）附录A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.1废气污染可行技术参考表</w:t>
            </w:r>
            <w:r>
              <w:rPr>
                <w:rFonts w:hint="eastAsia" w:ascii="Times New Roman" w:hAnsi="Times New Roman" w:eastAsia="宋体" w:cs="Times New Roman"/>
                <w:color w:val="000000" w:themeColor="text1"/>
                <w:sz w:val="24"/>
                <w:highlight w:val="none"/>
                <w14:textFill>
                  <w14:solidFill>
                    <w14:schemeClr w14:val="tx1"/>
                  </w14:solidFill>
                </w14:textFill>
              </w:rPr>
              <w:t>，本项目采用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旋风</w:t>
            </w:r>
            <w:r>
              <w:rPr>
                <w:rFonts w:hint="eastAsia" w:ascii="Times New Roman" w:hAnsi="Times New Roman" w:eastAsia="宋体" w:cs="Times New Roman"/>
                <w:color w:val="000000" w:themeColor="text1"/>
                <w:sz w:val="24"/>
                <w:highlight w:val="none"/>
                <w14:textFill>
                  <w14:solidFill>
                    <w14:schemeClr w14:val="tx1"/>
                  </w14:solidFill>
                </w14:textFill>
              </w:rPr>
              <w:t>除尘器为可行技术</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③</w:t>
            </w:r>
            <w:r>
              <w:rPr>
                <w:rFonts w:hint="eastAsia" w:ascii="Times New Roman" w:hAnsi="Times New Roman" w:cs="Times New Roman"/>
                <w:color w:val="000000" w:themeColor="text1"/>
                <w:sz w:val="24"/>
                <w:highlight w:val="none"/>
                <w14:textFill>
                  <w14:solidFill>
                    <w14:schemeClr w14:val="tx1"/>
                  </w14:solidFill>
                </w14:textFill>
              </w:rPr>
              <w:t>湿式静电除尘器：</w:t>
            </w:r>
            <w:r>
              <w:rPr>
                <w:rFonts w:ascii="Times New Roman" w:hAnsi="Times New Roman" w:cs="Times New Roman"/>
                <w:color w:val="000000" w:themeColor="text1"/>
                <w:sz w:val="24"/>
                <w:highlight w:val="none"/>
                <w14:textFill>
                  <w14:solidFill>
                    <w14:schemeClr w14:val="tx1"/>
                  </w14:solidFill>
                </w14:textFill>
              </w:rPr>
              <w:t>湿式电除尘器工作原理与传统电除尘器相同，依靠的都是静电力。湿式电除尘器处理的是脱硫后的湿烟气，布置在除尘脱硫系统的后部，阳极不需要振打或清扫清灰。在湿式电除尘器的阳极玻璃钢管和阴极线之间施加数万伏直流高压电，在强电场的作用下，电晕线周围产生电晕层，电晕层中的空气发生雪崩式电离，从而产生大量的负离子和少量的阳离子，这个过程叫电晕放电；随烟气进入湿式电除尘器内的尘（雾）粒子与这些正、负离子相碰撞而荷电，荷电后的尘（雾）粒子由于受到高压静电场库仑力的作用，向阳极运动；到达阳极玻璃钢管后，将其所带的电荷释放掉，尘（雾）粒子就被阳极所收集，在定时冲洗后在重力作用下自流向下而与烟气分离；极小部分的尘（雾）粒子本身则附着在阴极线上形成小液滴靠重力自流向下，或通过运行中间断冲洗及停炉后冲洗的方法将其清除。</w:t>
            </w:r>
            <w:r>
              <w:rPr>
                <w:rFonts w:hint="eastAsia" w:ascii="Times New Roman" w:hAnsi="Times New Roman" w:eastAsia="宋体" w:cs="Times New Roman"/>
                <w:color w:val="000000" w:themeColor="text1"/>
                <w:sz w:val="24"/>
                <w:highlight w:val="none"/>
                <w14:textFill>
                  <w14:solidFill>
                    <w14:schemeClr w14:val="tx1"/>
                  </w14:solidFill>
                </w14:textFill>
              </w:rPr>
              <w:t xml:space="preserve">参照《排污许可证申请与核发技术规范 </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人造板工业</w:t>
            </w:r>
            <w:r>
              <w:rPr>
                <w:rFonts w:hint="eastAsia" w:ascii="Times New Roman" w:hAnsi="Times New Roman" w:eastAsia="宋体" w:cs="Times New Roman"/>
                <w:color w:val="000000" w:themeColor="text1"/>
                <w:sz w:val="24"/>
                <w:highlight w:val="none"/>
                <w14:textFill>
                  <w14:solidFill>
                    <w14:schemeClr w14:val="tx1"/>
                  </w14:solidFill>
                </w14:textFill>
              </w:rPr>
              <w:t>》（HJ</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1032-2019</w:t>
            </w:r>
            <w:r>
              <w:rPr>
                <w:rFonts w:hint="eastAsia" w:ascii="Times New Roman" w:hAnsi="Times New Roman" w:eastAsia="宋体" w:cs="Times New Roman"/>
                <w:color w:val="000000" w:themeColor="text1"/>
                <w:sz w:val="24"/>
                <w:highlight w:val="none"/>
                <w14:textFill>
                  <w14:solidFill>
                    <w14:schemeClr w14:val="tx1"/>
                  </w14:solidFill>
                </w14:textFill>
              </w:rPr>
              <w:t>）附录A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.1废气污染可行技术参考表</w:t>
            </w:r>
            <w:r>
              <w:rPr>
                <w:rFonts w:hint="eastAsia" w:ascii="Times New Roman" w:hAnsi="Times New Roman" w:eastAsia="宋体" w:cs="Times New Roman"/>
                <w:color w:val="000000" w:themeColor="text1"/>
                <w:sz w:val="24"/>
                <w:highlight w:val="none"/>
                <w14:textFill>
                  <w14:solidFill>
                    <w14:schemeClr w14:val="tx1"/>
                  </w14:solidFill>
                </w14:textFill>
              </w:rPr>
              <w:t>，本项目采用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湿式</w:t>
            </w:r>
            <w:r>
              <w:rPr>
                <w:rFonts w:hint="eastAsia" w:ascii="Times New Roman" w:hAnsi="Times New Roman" w:eastAsia="宋体" w:cs="Times New Roman"/>
                <w:color w:val="000000" w:themeColor="text1"/>
                <w:sz w:val="24"/>
                <w:highlight w:val="none"/>
                <w14:textFill>
                  <w14:solidFill>
                    <w14:schemeClr w14:val="tx1"/>
                  </w14:solidFill>
                </w14:textFill>
              </w:rPr>
              <w:t>静电除尘器为可行技术。</w:t>
            </w:r>
          </w:p>
          <w:p>
            <w:pPr>
              <w:snapToGrid w:val="0"/>
              <w:spacing w:line="360" w:lineRule="auto"/>
              <w:ind w:firstLine="480" w:firstLineChars="200"/>
              <w:jc w:val="left"/>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综上所述，项目采用的大气污染防治措施</w:t>
            </w:r>
            <w:r>
              <w:rPr>
                <w:rFonts w:ascii="Times New Roman" w:hAnsi="Times New Roman" w:eastAsia="宋体" w:cs="Times New Roman"/>
                <w:color w:val="000000" w:themeColor="text1"/>
                <w:sz w:val="24"/>
                <w:highlight w:val="none"/>
                <w14:textFill>
                  <w14:solidFill>
                    <w14:schemeClr w14:val="tx1"/>
                  </w14:solidFill>
                </w14:textFill>
              </w:rPr>
              <w:t>实用性强，效果明显，</w:t>
            </w:r>
            <w:r>
              <w:rPr>
                <w:rFonts w:hint="eastAsia" w:ascii="Times New Roman" w:hAnsi="Times New Roman" w:eastAsia="宋体" w:cs="Times New Roman"/>
                <w:color w:val="000000" w:themeColor="text1"/>
                <w:sz w:val="24"/>
                <w:highlight w:val="none"/>
                <w14:textFill>
                  <w14:solidFill>
                    <w14:schemeClr w14:val="tx1"/>
                  </w14:solidFill>
                </w14:textFill>
              </w:rPr>
              <w:t>措施可行</w:t>
            </w:r>
            <w:r>
              <w:rPr>
                <w:rFonts w:ascii="Times New Roman" w:hAnsi="Times New Roman" w:eastAsia="宋体" w:cs="Times New Roman"/>
                <w:color w:val="000000" w:themeColor="text1"/>
                <w:sz w:val="24"/>
                <w:highlight w:val="none"/>
                <w14:textFill>
                  <w14:solidFill>
                    <w14:schemeClr w14:val="tx1"/>
                  </w14:solidFill>
                </w14:textFill>
              </w:rPr>
              <w:t>。</w:t>
            </w:r>
          </w:p>
          <w:p>
            <w:pPr>
              <w:snapToGrid w:val="0"/>
              <w:spacing w:line="360" w:lineRule="auto"/>
              <w:ind w:firstLine="482" w:firstLineChars="200"/>
              <w:jc w:val="left"/>
              <w:rPr>
                <w:rFonts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5</w:t>
            </w: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排放口基本情况</w:t>
            </w:r>
          </w:p>
          <w:p>
            <w:pPr>
              <w:snapToGrid w:val="0"/>
              <w:spacing w:line="360" w:lineRule="auto"/>
              <w:ind w:firstLine="480" w:firstLineChars="200"/>
              <w:jc w:val="left"/>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项目排放口基本情况详见下表：</w:t>
            </w:r>
          </w:p>
          <w:p>
            <w:pPr>
              <w:pStyle w:val="15"/>
              <w:widowControl w:val="0"/>
              <w:numPr>
                <w:ilvl w:val="0"/>
                <w:numId w:val="9"/>
              </w:numPr>
              <w:snapToGrid w:val="0"/>
              <w:ind w:left="0" w:leftChars="0" w:firstLine="0"/>
              <w:jc w:val="center"/>
              <w:rPr>
                <w:rFonts w:hint="default" w:ascii="Times New Roman" w:hAnsi="Times New Roman"/>
                <w:b/>
                <w:color w:val="000000" w:themeColor="text1"/>
                <w:kern w:val="2"/>
                <w:sz w:val="21"/>
                <w:szCs w:val="21"/>
                <w:highlight w:val="none"/>
                <w14:textFill>
                  <w14:solidFill>
                    <w14:schemeClr w14:val="tx1"/>
                  </w14:solidFill>
                </w14:textFill>
              </w:rPr>
            </w:pPr>
            <w:r>
              <w:rPr>
                <w:rFonts w:ascii="Times New Roman" w:hAnsi="Times New Roman"/>
                <w:b/>
                <w:color w:val="000000" w:themeColor="text1"/>
                <w:kern w:val="2"/>
                <w:sz w:val="21"/>
                <w:szCs w:val="21"/>
                <w:highlight w:val="none"/>
                <w14:textFill>
                  <w14:solidFill>
                    <w14:schemeClr w14:val="tx1"/>
                  </w14:solidFill>
                </w14:textFill>
              </w:rPr>
              <w:t>大气污染物排放口基本情况</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1"/>
              <w:gridCol w:w="831"/>
              <w:gridCol w:w="750"/>
              <w:gridCol w:w="781"/>
              <w:gridCol w:w="914"/>
              <w:gridCol w:w="600"/>
              <w:gridCol w:w="840"/>
              <w:gridCol w:w="570"/>
              <w:gridCol w:w="705"/>
              <w:gridCol w:w="779"/>
              <w:gridCol w:w="554"/>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7" w:type="pct"/>
                  <w:vMerge w:val="restar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编号</w:t>
                  </w:r>
                </w:p>
              </w:tc>
              <w:tc>
                <w:tcPr>
                  <w:tcW w:w="492" w:type="pct"/>
                  <w:vMerge w:val="restar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名称</w:t>
                  </w:r>
                </w:p>
              </w:tc>
              <w:tc>
                <w:tcPr>
                  <w:tcW w:w="906" w:type="pct"/>
                  <w:gridSpan w:val="2"/>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排气筒底部中心坐标</w:t>
                  </w:r>
                </w:p>
              </w:tc>
              <w:tc>
                <w:tcPr>
                  <w:tcW w:w="541" w:type="pct"/>
                  <w:vMerge w:val="restar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排气筒底部海拔高度/m</w:t>
                  </w:r>
                </w:p>
              </w:tc>
              <w:tc>
                <w:tcPr>
                  <w:tcW w:w="355" w:type="pct"/>
                  <w:vMerge w:val="restar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排气筒高度/m</w:t>
                  </w:r>
                </w:p>
              </w:tc>
              <w:tc>
                <w:tcPr>
                  <w:tcW w:w="497" w:type="pct"/>
                  <w:vMerge w:val="restar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排气筒出口内径/m</w:t>
                  </w:r>
                </w:p>
              </w:tc>
              <w:tc>
                <w:tcPr>
                  <w:tcW w:w="337" w:type="pct"/>
                  <w:vMerge w:val="restar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烟气温度/℃</w:t>
                  </w:r>
                </w:p>
              </w:tc>
              <w:tc>
                <w:tcPr>
                  <w:tcW w:w="417" w:type="pct"/>
                  <w:vMerge w:val="restar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年排放小时数/h</w:t>
                  </w:r>
                </w:p>
              </w:tc>
              <w:tc>
                <w:tcPr>
                  <w:tcW w:w="1184" w:type="pct"/>
                  <w:gridSpan w:val="3"/>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7" w:type="pct"/>
                  <w:vMerge w:val="continue"/>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492" w:type="pct"/>
                  <w:vMerge w:val="continue"/>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444"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E</w:t>
                  </w:r>
                </w:p>
              </w:tc>
              <w:tc>
                <w:tcPr>
                  <w:tcW w:w="461"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N</w:t>
                  </w:r>
                </w:p>
              </w:tc>
              <w:tc>
                <w:tcPr>
                  <w:tcW w:w="541" w:type="pct"/>
                  <w:vMerge w:val="continue"/>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355" w:type="pct"/>
                  <w:vMerge w:val="continue"/>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497" w:type="pct"/>
                  <w:vMerge w:val="continue"/>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337" w:type="pct"/>
                  <w:vMerge w:val="continue"/>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417" w:type="pct"/>
                  <w:vMerge w:val="continue"/>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p>
              </w:tc>
              <w:tc>
                <w:tcPr>
                  <w:tcW w:w="461"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颗粒物</w:t>
                  </w:r>
                </w:p>
              </w:tc>
              <w:tc>
                <w:tcPr>
                  <w:tcW w:w="328" w:type="pct"/>
                  <w:vAlign w:val="center"/>
                </w:tcPr>
                <w:p>
                  <w:pPr>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SO</w:t>
                  </w:r>
                  <w:r>
                    <w:rPr>
                      <w:rFonts w:ascii="Times New Roman" w:hAnsi="Times New Roman" w:cs="Times New Roman"/>
                      <w:b/>
                      <w:bCs/>
                      <w:color w:val="000000" w:themeColor="text1"/>
                      <w:szCs w:val="21"/>
                      <w:highlight w:val="none"/>
                      <w:vertAlign w:val="subscript"/>
                      <w14:textFill>
                        <w14:solidFill>
                          <w14:schemeClr w14:val="tx1"/>
                        </w14:solidFill>
                      </w14:textFill>
                    </w:rPr>
                    <w:t>2</w:t>
                  </w:r>
                </w:p>
              </w:tc>
              <w:tc>
                <w:tcPr>
                  <w:tcW w:w="393" w:type="pct"/>
                  <w:vAlign w:val="center"/>
                </w:tcPr>
                <w:p>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NO</w:t>
                  </w:r>
                  <w:r>
                    <w:rPr>
                      <w:rFonts w:ascii="Times New Roman" w:hAnsi="Times New Roman" w:cs="Times New Roman"/>
                      <w:b/>
                      <w:bCs/>
                      <w:color w:val="000000" w:themeColor="text1"/>
                      <w:szCs w:val="21"/>
                      <w:highlight w:val="none"/>
                      <w:vertAlign w:val="subscript"/>
                      <w14:textFill>
                        <w14:solidFill>
                          <w14:schemeClr w14:val="tx1"/>
                        </w14:solidFill>
                      </w14:textFill>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7"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DA00</w:t>
                  </w:r>
                  <w:r>
                    <w:rPr>
                      <w:rFonts w:hint="eastAsia" w:ascii="Times New Roman" w:hAnsi="Times New Roman" w:cs="Times New Roman"/>
                      <w:color w:val="000000" w:themeColor="text1"/>
                      <w:szCs w:val="21"/>
                      <w:highlight w:val="none"/>
                      <w:lang w:val="en-US" w:eastAsia="zh-CN"/>
                      <w14:textFill>
                        <w14:solidFill>
                          <w14:schemeClr w14:val="tx1"/>
                        </w14:solidFill>
                      </w14:textFill>
                    </w:rPr>
                    <w:t>3</w:t>
                  </w:r>
                </w:p>
              </w:tc>
              <w:tc>
                <w:tcPr>
                  <w:tcW w:w="492"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cs="Times New Roman"/>
                      <w:bCs/>
                      <w:color w:val="000000" w:themeColor="text1"/>
                      <w:sz w:val="21"/>
                      <w:szCs w:val="21"/>
                      <w:highlight w:val="none"/>
                      <w14:textFill>
                        <w14:solidFill>
                          <w14:schemeClr w14:val="tx1"/>
                        </w14:solidFill>
                      </w14:textFill>
                    </w:rPr>
                    <w:t>热能中心、湿电除尘排气筒出口</w:t>
                  </w:r>
                </w:p>
              </w:tc>
              <w:tc>
                <w:tcPr>
                  <w:tcW w:w="444"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117°</w:t>
                  </w:r>
                  <w:r>
                    <w:rPr>
                      <w:rFonts w:hint="eastAsia" w:ascii="Times New Roman" w:hAnsi="Times New Roman" w:cs="Times New Roman"/>
                      <w:color w:val="000000" w:themeColor="text1"/>
                      <w:szCs w:val="21"/>
                      <w:highlight w:val="none"/>
                      <w:lang w:val="en-US" w:eastAsia="zh-CN"/>
                      <w14:textFill>
                        <w14:solidFill>
                          <w14:schemeClr w14:val="tx1"/>
                        </w14:solidFill>
                      </w14:textFill>
                    </w:rPr>
                    <w:t>42</w:t>
                  </w:r>
                  <w:r>
                    <w:rPr>
                      <w:rFonts w:ascii="Times New Roman" w:hAnsi="Times New Roman" w:cs="Times New Roman"/>
                      <w:color w:val="000000" w:themeColor="text1"/>
                      <w:szCs w:val="21"/>
                      <w:highlight w:val="none"/>
                      <w14:textFill>
                        <w14:solidFill>
                          <w14:schemeClr w14:val="tx1"/>
                        </w14:solidFill>
                      </w14:textFill>
                    </w:rPr>
                    <w:t>′3</w:t>
                  </w:r>
                  <w:r>
                    <w:rPr>
                      <w:rFonts w:hint="eastAsia" w:ascii="Times New Roman" w:hAnsi="Times New Roman" w:cs="Times New Roman"/>
                      <w:color w:val="000000" w:themeColor="text1"/>
                      <w:szCs w:val="21"/>
                      <w:highlight w:val="none"/>
                      <w:lang w:val="en-US" w:eastAsia="zh-CN"/>
                      <w14:textFill>
                        <w14:solidFill>
                          <w14:schemeClr w14:val="tx1"/>
                        </w14:solidFill>
                      </w14:textFill>
                    </w:rPr>
                    <w:t>8.466</w:t>
                  </w:r>
                  <w:r>
                    <w:rPr>
                      <w:rFonts w:ascii="Times New Roman" w:hAnsi="Times New Roman" w:cs="Times New Roman"/>
                      <w:color w:val="000000" w:themeColor="text1"/>
                      <w:szCs w:val="21"/>
                      <w:highlight w:val="none"/>
                      <w14:textFill>
                        <w14:solidFill>
                          <w14:schemeClr w14:val="tx1"/>
                        </w14:solidFill>
                      </w14:textFill>
                    </w:rPr>
                    <w:t>″</w:t>
                  </w:r>
                </w:p>
              </w:tc>
              <w:tc>
                <w:tcPr>
                  <w:tcW w:w="461"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41°</w:t>
                  </w:r>
                  <w:r>
                    <w:rPr>
                      <w:rFonts w:hint="eastAsia" w:ascii="Times New Roman" w:hAnsi="Times New Roman" w:cs="Times New Roman"/>
                      <w:color w:val="000000" w:themeColor="text1"/>
                      <w:szCs w:val="21"/>
                      <w:highlight w:val="none"/>
                      <w:lang w:val="en-US" w:eastAsia="zh-CN"/>
                      <w14:textFill>
                        <w14:solidFill>
                          <w14:schemeClr w14:val="tx1"/>
                        </w14:solidFill>
                      </w14:textFill>
                    </w:rPr>
                    <w:t>59</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3.066</w:t>
                  </w:r>
                  <w:r>
                    <w:rPr>
                      <w:rFonts w:ascii="Times New Roman" w:hAnsi="Times New Roman" w:cs="Times New Roman"/>
                      <w:color w:val="000000" w:themeColor="text1"/>
                      <w:szCs w:val="21"/>
                      <w:highlight w:val="none"/>
                      <w14:textFill>
                        <w14:solidFill>
                          <w14:schemeClr w14:val="tx1"/>
                        </w14:solidFill>
                      </w14:textFill>
                    </w:rPr>
                    <w:t>″</w:t>
                  </w:r>
                </w:p>
              </w:tc>
              <w:tc>
                <w:tcPr>
                  <w:tcW w:w="541"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880</w:t>
                  </w:r>
                </w:p>
              </w:tc>
              <w:tc>
                <w:tcPr>
                  <w:tcW w:w="355"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55</w:t>
                  </w:r>
                </w:p>
              </w:tc>
              <w:tc>
                <w:tcPr>
                  <w:tcW w:w="497"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4</w:t>
                  </w:r>
                </w:p>
              </w:tc>
              <w:tc>
                <w:tcPr>
                  <w:tcW w:w="337"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70</w:t>
                  </w:r>
                </w:p>
              </w:tc>
              <w:tc>
                <w:tcPr>
                  <w:tcW w:w="417"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6750</w:t>
                  </w:r>
                </w:p>
              </w:tc>
              <w:tc>
                <w:tcPr>
                  <w:tcW w:w="461"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2.92</w:t>
                  </w:r>
                </w:p>
              </w:tc>
              <w:tc>
                <w:tcPr>
                  <w:tcW w:w="328"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0.16</w:t>
                  </w:r>
                </w:p>
              </w:tc>
              <w:tc>
                <w:tcPr>
                  <w:tcW w:w="393" w:type="pct"/>
                  <w:vAlign w:val="center"/>
                </w:tcPr>
                <w:p>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13.30</w:t>
                  </w:r>
                </w:p>
              </w:tc>
            </w:tr>
          </w:tbl>
          <w:p>
            <w:pPr>
              <w:adjustRightInd w:val="0"/>
              <w:snapToGrid w:val="0"/>
              <w:spacing w:line="360" w:lineRule="auto"/>
              <w:ind w:firstLine="482" w:firstLineChars="200"/>
              <w:jc w:val="left"/>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6</w:t>
            </w:r>
            <w:r>
              <w:rPr>
                <w:rFonts w:ascii="Times New Roman" w:hAnsi="Times New Roman" w:cs="Times New Roman"/>
                <w:b/>
                <w:bCs/>
                <w:color w:val="000000" w:themeColor="text1"/>
                <w:sz w:val="24"/>
                <w:highlight w:val="none"/>
                <w14:textFill>
                  <w14:solidFill>
                    <w14:schemeClr w14:val="tx1"/>
                  </w14:solidFill>
                </w14:textFill>
              </w:rPr>
              <w:t>）监测要求</w:t>
            </w:r>
          </w:p>
          <w:p>
            <w:pPr>
              <w:snapToGrid w:val="0"/>
              <w:spacing w:line="360" w:lineRule="auto"/>
              <w:ind w:firstLine="480" w:firstLineChars="200"/>
              <w:jc w:val="left"/>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 xml:space="preserve">参照《排污许可证申请与核发技术规范 </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人造板工业</w:t>
            </w:r>
            <w:r>
              <w:rPr>
                <w:rFonts w:hint="eastAsia" w:ascii="Times New Roman" w:hAnsi="Times New Roman" w:eastAsia="宋体" w:cs="Times New Roman"/>
                <w:color w:val="000000" w:themeColor="text1"/>
                <w:sz w:val="24"/>
                <w:highlight w:val="none"/>
                <w14:textFill>
                  <w14:solidFill>
                    <w14:schemeClr w14:val="tx1"/>
                  </w14:solidFill>
                </w14:textFill>
              </w:rPr>
              <w:t>》（HJ</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1032-2019</w:t>
            </w:r>
            <w:r>
              <w:rPr>
                <w:rFonts w:hint="eastAsia" w:ascii="Times New Roman" w:hAnsi="Times New Roman" w:eastAsia="宋体" w:cs="Times New Roman"/>
                <w:color w:val="000000" w:themeColor="text1"/>
                <w:sz w:val="24"/>
                <w:highlight w:val="none"/>
                <w14:textFill>
                  <w14:solidFill>
                    <w14:schemeClr w14:val="tx1"/>
                  </w14:solidFill>
                </w14:textFill>
              </w:rPr>
              <w:t>）与《排污单位自行监测技术指南 总则》（HJ819-2017）</w:t>
            </w:r>
            <w:r>
              <w:rPr>
                <w:rFonts w:ascii="Times New Roman" w:hAnsi="Times New Roman" w:eastAsia="宋体" w:cs="Times New Roman"/>
                <w:color w:val="000000" w:themeColor="text1"/>
                <w:sz w:val="24"/>
                <w:highlight w:val="none"/>
                <w14:textFill>
                  <w14:solidFill>
                    <w14:schemeClr w14:val="tx1"/>
                  </w14:solidFill>
                </w14:textFill>
              </w:rPr>
              <w:t>的要求</w:t>
            </w:r>
            <w:r>
              <w:rPr>
                <w:rFonts w:hint="eastAsia" w:ascii="Times New Roman" w:hAnsi="Times New Roman" w:cs="Times New Roman"/>
                <w:color w:val="000000" w:themeColor="text1"/>
                <w:sz w:val="24"/>
                <w:highlight w:val="none"/>
                <w14:textFill>
                  <w14:solidFill>
                    <w14:schemeClr w14:val="tx1"/>
                  </w14:solidFill>
                </w14:textFill>
              </w:rPr>
              <w:t>，本</w:t>
            </w:r>
            <w:r>
              <w:rPr>
                <w:rFonts w:ascii="Times New Roman" w:hAnsi="Times New Roman" w:cs="Times New Roman"/>
                <w:color w:val="000000" w:themeColor="text1"/>
                <w:sz w:val="24"/>
                <w:highlight w:val="none"/>
                <w14:textFill>
                  <w14:solidFill>
                    <w14:schemeClr w14:val="tx1"/>
                  </w14:solidFill>
                </w14:textFill>
              </w:rPr>
              <w:t>项目大气污染源监测要求详见下表：</w:t>
            </w:r>
          </w:p>
          <w:p>
            <w:pPr>
              <w:pStyle w:val="15"/>
              <w:keepNext w:val="0"/>
              <w:keepLines w:val="0"/>
              <w:pageBreakBefore w:val="0"/>
              <w:widowControl w:val="0"/>
              <w:numPr>
                <w:ilvl w:val="0"/>
                <w:numId w:val="9"/>
              </w:numPr>
              <w:kinsoku/>
              <w:wordWrap/>
              <w:overflowPunct/>
              <w:topLinePunct w:val="0"/>
              <w:autoSpaceDE/>
              <w:autoSpaceDN/>
              <w:bidi w:val="0"/>
              <w:adjustRightInd/>
              <w:snapToGrid w:val="0"/>
              <w:ind w:left="420" w:leftChars="0" w:hanging="420"/>
              <w:jc w:val="center"/>
              <w:textAlignment w:val="auto"/>
              <w:rPr>
                <w:rFonts w:hint="default" w:ascii="Times New Roman" w:hAnsi="Times New Roman"/>
                <w:b/>
                <w:color w:val="000000" w:themeColor="text1"/>
                <w:sz w:val="21"/>
                <w:szCs w:val="21"/>
                <w:highlight w:val="none"/>
                <w14:textFill>
                  <w14:solidFill>
                    <w14:schemeClr w14:val="tx1"/>
                  </w14:solidFill>
                </w14:textFill>
              </w:rPr>
            </w:pPr>
            <w:r>
              <w:rPr>
                <w:rFonts w:ascii="Times New Roman" w:hAnsi="Times New Roman"/>
                <w:b/>
                <w:color w:val="000000" w:themeColor="text1"/>
                <w:sz w:val="21"/>
                <w:szCs w:val="21"/>
                <w:highlight w:val="none"/>
                <w14:textFill>
                  <w14:solidFill>
                    <w14:schemeClr w14:val="tx1"/>
                  </w14:solidFill>
                </w14:textFill>
              </w:rPr>
              <w:t>大气污染源监测计划</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42"/>
              <w:gridCol w:w="1065"/>
              <w:gridCol w:w="1095"/>
              <w:gridCol w:w="914"/>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32" w:type="pct"/>
                  <w:gridSpan w:val="2"/>
                  <w:vAlign w:val="center"/>
                </w:tcPr>
                <w:p>
                  <w:pPr>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环境要素</w:t>
                  </w:r>
                </w:p>
              </w:tc>
              <w:tc>
                <w:tcPr>
                  <w:tcW w:w="630" w:type="pct"/>
                  <w:vAlign w:val="center"/>
                </w:tcPr>
                <w:p>
                  <w:pPr>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监测位置</w:t>
                  </w:r>
                </w:p>
              </w:tc>
              <w:tc>
                <w:tcPr>
                  <w:tcW w:w="648" w:type="pct"/>
                  <w:vAlign w:val="center"/>
                </w:tcPr>
                <w:p>
                  <w:pPr>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监测项目</w:t>
                  </w:r>
                </w:p>
              </w:tc>
              <w:tc>
                <w:tcPr>
                  <w:tcW w:w="541" w:type="pct"/>
                  <w:vAlign w:val="center"/>
                </w:tcPr>
                <w:p>
                  <w:pPr>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频次</w:t>
                  </w:r>
                </w:p>
              </w:tc>
              <w:tc>
                <w:tcPr>
                  <w:tcW w:w="2546" w:type="pct"/>
                  <w:vAlign w:val="center"/>
                </w:tcPr>
                <w:p>
                  <w:pPr>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52"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废气</w:t>
                  </w:r>
                </w:p>
              </w:tc>
              <w:tc>
                <w:tcPr>
                  <w:tcW w:w="380"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有组织</w:t>
                  </w:r>
                </w:p>
              </w:tc>
              <w:tc>
                <w:tcPr>
                  <w:tcW w:w="630" w:type="pct"/>
                  <w:vMerge w:val="restar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排气筒DA00</w:t>
                  </w:r>
                  <w:r>
                    <w:rPr>
                      <w:rFonts w:hint="eastAsia" w:ascii="Times New Roman" w:hAnsi="Times New Roman" w:cs="Times New Roman"/>
                      <w:color w:val="000000" w:themeColor="text1"/>
                      <w:szCs w:val="21"/>
                      <w:highlight w:val="none"/>
                      <w:lang w:val="en-US" w:eastAsia="zh-CN"/>
                      <w14:textFill>
                        <w14:solidFill>
                          <w14:schemeClr w14:val="tx1"/>
                        </w14:solidFill>
                      </w14:textFill>
                    </w:rPr>
                    <w:t>3</w:t>
                  </w:r>
                </w:p>
              </w:tc>
              <w:tc>
                <w:tcPr>
                  <w:tcW w:w="648" w:type="pct"/>
                  <w:vAlign w:val="center"/>
                </w:tcPr>
                <w:p>
                  <w:pPr>
                    <w:topLinePunct/>
                    <w:jc w:val="center"/>
                    <w:textAlignment w:val="center"/>
                    <w:rPr>
                      <w:rFonts w:ascii="Times New Roman" w:hAnsi="Times New Roman" w:cs="Times New Roman"/>
                      <w:color w:val="000000" w:themeColor="text1"/>
                      <w:kern w:val="0"/>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颗粒物</w:t>
                  </w:r>
                </w:p>
              </w:tc>
              <w:tc>
                <w:tcPr>
                  <w:tcW w:w="541" w:type="pct"/>
                  <w:vAlign w:val="center"/>
                </w:tcPr>
                <w:p>
                  <w:pPr>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1次/</w:t>
                  </w:r>
                  <w:r>
                    <w:rPr>
                      <w:rFonts w:hint="eastAsia" w:ascii="Times New Roman" w:hAnsi="Times New Roman" w:cs="Times New Roman"/>
                      <w:color w:val="000000" w:themeColor="text1"/>
                      <w:szCs w:val="21"/>
                      <w:highlight w:val="none"/>
                      <w:lang w:val="en-US" w:eastAsia="zh-CN"/>
                      <w14:textFill>
                        <w14:solidFill>
                          <w14:schemeClr w14:val="tx1"/>
                        </w14:solidFill>
                      </w14:textFill>
                    </w:rPr>
                    <w:t>年</w:t>
                  </w:r>
                </w:p>
              </w:tc>
              <w:tc>
                <w:tcPr>
                  <w:tcW w:w="2546" w:type="pct"/>
                  <w:vMerge w:val="restart"/>
                  <w:vAlign w:val="center"/>
                </w:tcPr>
                <w:p>
                  <w:pPr>
                    <w:topLinePunc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《承德市工业炉窑综合治理实施方案》 及《大气污染物综合排放标准》(GB16297-1996) 表2新污染源大气污染物排放限值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52"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380"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630"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648" w:type="pct"/>
                  <w:vAlign w:val="center"/>
                </w:tcPr>
                <w:p>
                  <w:pPr>
                    <w:topLinePunct/>
                    <w:jc w:val="center"/>
                    <w:textAlignment w:val="center"/>
                    <w:rPr>
                      <w:rFonts w:ascii="Times New Roman" w:hAnsi="Times New Roman" w:cs="Times New Roman"/>
                      <w:color w:val="000000" w:themeColor="text1"/>
                      <w:kern w:val="0"/>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SO</w:t>
                  </w:r>
                  <w:r>
                    <w:rPr>
                      <w:rFonts w:hint="eastAsia" w:ascii="Times New Roman" w:hAnsi="Times New Roman" w:cs="Times New Roman"/>
                      <w:color w:val="000000" w:themeColor="text1"/>
                      <w:szCs w:val="21"/>
                      <w:highlight w:val="none"/>
                      <w:vertAlign w:val="subscript"/>
                      <w14:textFill>
                        <w14:solidFill>
                          <w14:schemeClr w14:val="tx1"/>
                        </w14:solidFill>
                      </w14:textFill>
                    </w:rPr>
                    <w:t>2</w:t>
                  </w:r>
                </w:p>
              </w:tc>
              <w:tc>
                <w:tcPr>
                  <w:tcW w:w="541"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1次/</w:t>
                  </w:r>
                  <w:r>
                    <w:rPr>
                      <w:rFonts w:hint="eastAsia" w:ascii="Times New Roman" w:hAnsi="Times New Roman" w:cs="Times New Roman"/>
                      <w:color w:val="000000" w:themeColor="text1"/>
                      <w:szCs w:val="21"/>
                      <w:highlight w:val="none"/>
                      <w:lang w:val="en-US" w:eastAsia="zh-CN"/>
                      <w14:textFill>
                        <w14:solidFill>
                          <w14:schemeClr w14:val="tx1"/>
                        </w14:solidFill>
                      </w14:textFill>
                    </w:rPr>
                    <w:t>年</w:t>
                  </w:r>
                </w:p>
              </w:tc>
              <w:tc>
                <w:tcPr>
                  <w:tcW w:w="2546" w:type="pct"/>
                  <w:vMerge w:val="continue"/>
                  <w:vAlign w:val="center"/>
                </w:tcPr>
                <w:p>
                  <w:pPr>
                    <w:jc w:val="center"/>
                    <w:rPr>
                      <w:rFonts w:ascii="Times New Roman" w:hAnsi="Times New Roman" w:cs="Times New Roman"/>
                      <w:color w:val="000000" w:themeColor="text1"/>
                      <w:kern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52"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380"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630"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648" w:type="pct"/>
                  <w:vAlign w:val="center"/>
                </w:tcPr>
                <w:p>
                  <w:pPr>
                    <w:topLinePunct/>
                    <w:jc w:val="center"/>
                    <w:textAlignment w:val="center"/>
                    <w:rPr>
                      <w:rFonts w:ascii="Times New Roman" w:hAnsi="Times New Roman" w:cs="Times New Roman"/>
                      <w:color w:val="000000" w:themeColor="text1"/>
                      <w:kern w:val="0"/>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NOx</w:t>
                  </w:r>
                </w:p>
              </w:tc>
              <w:tc>
                <w:tcPr>
                  <w:tcW w:w="541"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1次/</w:t>
                  </w:r>
                  <w:r>
                    <w:rPr>
                      <w:rFonts w:hint="eastAsia" w:ascii="Times New Roman" w:hAnsi="Times New Roman" w:cs="Times New Roman"/>
                      <w:color w:val="000000" w:themeColor="text1"/>
                      <w:szCs w:val="21"/>
                      <w:highlight w:val="none"/>
                      <w:lang w:val="en-US" w:eastAsia="zh-CN"/>
                      <w14:textFill>
                        <w14:solidFill>
                          <w14:schemeClr w14:val="tx1"/>
                        </w14:solidFill>
                      </w14:textFill>
                    </w:rPr>
                    <w:t>年</w:t>
                  </w:r>
                </w:p>
              </w:tc>
              <w:tc>
                <w:tcPr>
                  <w:tcW w:w="2546" w:type="pct"/>
                  <w:vMerge w:val="continue"/>
                  <w:vAlign w:val="center"/>
                </w:tcPr>
                <w:p>
                  <w:pPr>
                    <w:jc w:val="center"/>
                    <w:rPr>
                      <w:rFonts w:ascii="Times New Roman" w:hAnsi="Times New Roman" w:cs="Times New Roman"/>
                      <w:color w:val="000000" w:themeColor="text1"/>
                      <w:kern w:val="21"/>
                      <w:szCs w:val="21"/>
                      <w:highlight w:val="none"/>
                      <w14:textFill>
                        <w14:solidFill>
                          <w14:schemeClr w14:val="tx1"/>
                        </w14:solidFill>
                      </w14:textFill>
                    </w:rPr>
                  </w:pPr>
                </w:p>
              </w:tc>
            </w:tr>
          </w:tbl>
          <w:p>
            <w:pPr>
              <w:snapToGrid w:val="0"/>
              <w:spacing w:before="156" w:beforeLines="50" w:line="360" w:lineRule="auto"/>
              <w:ind w:firstLine="482" w:firstLineChars="200"/>
              <w:jc w:val="left"/>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7</w:t>
            </w:r>
            <w:r>
              <w:rPr>
                <w:rFonts w:ascii="Times New Roman" w:hAnsi="Times New Roman" w:cs="Times New Roman"/>
                <w:b/>
                <w:bCs/>
                <w:color w:val="000000" w:themeColor="text1"/>
                <w:sz w:val="24"/>
                <w:highlight w:val="none"/>
                <w14:textFill>
                  <w14:solidFill>
                    <w14:schemeClr w14:val="tx1"/>
                  </w14:solidFill>
                </w14:textFill>
              </w:rPr>
              <w:t>）污染物排放达标分析</w:t>
            </w:r>
          </w:p>
          <w:p>
            <w:pPr>
              <w:keepNext w:val="0"/>
              <w:keepLines w:val="0"/>
              <w:pageBreakBefore w:val="0"/>
              <w:widowControl w:val="0"/>
              <w:kinsoku/>
              <w:wordWrap/>
              <w:overflowPunct/>
              <w:topLinePunct w:val="0"/>
              <w:autoSpaceDE/>
              <w:autoSpaceDN/>
              <w:bidi w:val="0"/>
              <w:adjustRightInd/>
              <w:snapToGrid w:val="0"/>
              <w:spacing w:line="720" w:lineRule="auto"/>
              <w:ind w:firstLine="480" w:firstLineChars="200"/>
              <w:jc w:val="left"/>
              <w:textAlignment w:val="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根据上述计算结果，本项目</w:t>
            </w:r>
            <w:r>
              <w:rPr>
                <w:rFonts w:hint="eastAsia" w:ascii="Times New Roman" w:hAnsi="Times New Roman" w:cs="Times New Roman"/>
                <w:color w:val="000000" w:themeColor="text1"/>
                <w:sz w:val="24"/>
                <w:highlight w:val="none"/>
                <w14:textFill>
                  <w14:solidFill>
                    <w14:schemeClr w14:val="tx1"/>
                  </w14:solidFill>
                </w14:textFill>
              </w:rPr>
              <w:t>各产污节点</w:t>
            </w:r>
            <w:r>
              <w:rPr>
                <w:rFonts w:ascii="Times New Roman" w:hAnsi="Times New Roman" w:cs="Times New Roman"/>
                <w:color w:val="000000" w:themeColor="text1"/>
                <w:sz w:val="24"/>
                <w:highlight w:val="none"/>
                <w14:textFill>
                  <w14:solidFill>
                    <w14:schemeClr w14:val="tx1"/>
                  </w14:solidFill>
                </w14:textFill>
              </w:rPr>
              <w:t>有组织排放情况详见下表：</w:t>
            </w:r>
          </w:p>
          <w:p>
            <w:pPr>
              <w:pStyle w:val="15"/>
              <w:keepNext w:val="0"/>
              <w:keepLines w:val="0"/>
              <w:pageBreakBefore w:val="0"/>
              <w:widowControl w:val="0"/>
              <w:numPr>
                <w:ilvl w:val="0"/>
                <w:numId w:val="9"/>
              </w:numPr>
              <w:kinsoku/>
              <w:wordWrap/>
              <w:overflowPunct/>
              <w:topLinePunct w:val="0"/>
              <w:autoSpaceDE/>
              <w:autoSpaceDN/>
              <w:bidi w:val="0"/>
              <w:adjustRightInd/>
              <w:snapToGrid w:val="0"/>
              <w:ind w:left="0" w:leftChars="0" w:firstLine="0"/>
              <w:jc w:val="center"/>
              <w:textAlignment w:val="auto"/>
              <w:rPr>
                <w:rFonts w:hint="default" w:ascii="Times New Roman" w:hAnsi="Times New Roman"/>
                <w:b/>
                <w:color w:val="000000" w:themeColor="text1"/>
                <w:sz w:val="21"/>
                <w:szCs w:val="21"/>
                <w:highlight w:val="none"/>
                <w14:textFill>
                  <w14:solidFill>
                    <w14:schemeClr w14:val="tx1"/>
                  </w14:solidFill>
                </w14:textFill>
              </w:rPr>
            </w:pPr>
            <w:r>
              <w:rPr>
                <w:rFonts w:ascii="Times New Roman" w:hAnsi="Times New Roman"/>
                <w:b/>
                <w:color w:val="000000" w:themeColor="text1"/>
                <w:sz w:val="21"/>
                <w:szCs w:val="21"/>
                <w:highlight w:val="none"/>
                <w14:textFill>
                  <w14:solidFill>
                    <w14:schemeClr w14:val="tx1"/>
                  </w14:solidFill>
                </w14:textFill>
              </w:rPr>
              <w:t>大气污染物有组织排放情况一览表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501"/>
              <w:gridCol w:w="754"/>
              <w:gridCol w:w="1127"/>
              <w:gridCol w:w="1040"/>
              <w:gridCol w:w="1840"/>
              <w:gridCol w:w="1171"/>
              <w:gridCol w:w="1094"/>
              <w:gridCol w:w="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Merge w:val="restar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排气筒</w:t>
                  </w:r>
                </w:p>
              </w:tc>
              <w:tc>
                <w:tcPr>
                  <w:tcW w:w="296" w:type="pct"/>
                  <w:vMerge w:val="restart"/>
                  <w:vAlign w:val="center"/>
                </w:tcPr>
                <w:p>
                  <w:pPr>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产污节点</w:t>
                  </w:r>
                </w:p>
              </w:tc>
              <w:tc>
                <w:tcPr>
                  <w:tcW w:w="446" w:type="pct"/>
                  <w:vMerge w:val="restar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污染物</w:t>
                  </w:r>
                </w:p>
              </w:tc>
              <w:tc>
                <w:tcPr>
                  <w:tcW w:w="666" w:type="pct"/>
                  <w:vMerge w:val="restar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有组织</w:t>
                  </w:r>
                  <w:r>
                    <w:rPr>
                      <w:rFonts w:ascii="Times New Roman" w:hAnsi="Times New Roman" w:eastAsia="宋体" w:cs="Times New Roman"/>
                      <w:b/>
                      <w:bCs/>
                      <w:color w:val="000000" w:themeColor="text1"/>
                      <w:szCs w:val="21"/>
                      <w:highlight w:val="none"/>
                      <w14:textFill>
                        <w14:solidFill>
                          <w14:schemeClr w14:val="tx1"/>
                        </w14:solidFill>
                      </w14:textFill>
                    </w:rPr>
                    <w:t>排放浓度（mg/m³）</w:t>
                  </w:r>
                </w:p>
              </w:tc>
              <w:tc>
                <w:tcPr>
                  <w:tcW w:w="615" w:type="pct"/>
                  <w:vMerge w:val="restart"/>
                  <w:vAlign w:val="center"/>
                </w:tcPr>
                <w:p>
                  <w:pPr>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有组织</w:t>
                  </w:r>
                  <w:r>
                    <w:rPr>
                      <w:rFonts w:ascii="Times New Roman" w:hAnsi="Times New Roman" w:eastAsia="宋体" w:cs="Times New Roman"/>
                      <w:b/>
                      <w:bCs/>
                      <w:color w:val="000000" w:themeColor="text1"/>
                      <w:szCs w:val="21"/>
                      <w:highlight w:val="none"/>
                      <w14:textFill>
                        <w14:solidFill>
                          <w14:schemeClr w14:val="tx1"/>
                        </w14:solidFill>
                      </w14:textFill>
                    </w:rPr>
                    <w:t>排放</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速率</w:t>
                  </w:r>
                  <w:r>
                    <w:rPr>
                      <w:rFonts w:ascii="Times New Roman" w:hAnsi="Times New Roman" w:eastAsia="宋体" w:cs="Times New Roman"/>
                      <w:b/>
                      <w:bCs/>
                      <w:color w:val="000000" w:themeColor="text1"/>
                      <w:szCs w:val="21"/>
                      <w:highlight w:val="none"/>
                      <w14:textFill>
                        <w14:solidFill>
                          <w14:schemeClr w14:val="tx1"/>
                        </w14:solidFill>
                      </w14:textFill>
                    </w:rPr>
                    <w:t>（</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kg/h</w:t>
                  </w:r>
                  <w:r>
                    <w:rPr>
                      <w:rFonts w:ascii="Times New Roman" w:hAnsi="Times New Roman" w:eastAsia="宋体" w:cs="Times New Roman"/>
                      <w:b/>
                      <w:bCs/>
                      <w:color w:val="000000" w:themeColor="text1"/>
                      <w:szCs w:val="21"/>
                      <w:highlight w:val="none"/>
                      <w14:textFill>
                        <w14:solidFill>
                          <w14:schemeClr w14:val="tx1"/>
                        </w14:solidFill>
                      </w14:textFill>
                    </w:rPr>
                    <w:t>）</w:t>
                  </w:r>
                </w:p>
              </w:tc>
              <w:tc>
                <w:tcPr>
                  <w:tcW w:w="2427" w:type="pct"/>
                  <w:gridSpan w:val="3"/>
                  <w:vAlign w:val="center"/>
                </w:tcPr>
                <w:p>
                  <w:pPr>
                    <w:pStyle w:val="55"/>
                    <w:spacing w:line="28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排放标准</w:t>
                  </w:r>
                </w:p>
              </w:tc>
              <w:tc>
                <w:tcPr>
                  <w:tcW w:w="245" w:type="pct"/>
                  <w:vMerge w:val="restart"/>
                  <w:vAlign w:val="center"/>
                </w:tcPr>
                <w:p>
                  <w:pPr>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Merge w:val="continue"/>
                  <w:vAlign w:val="center"/>
                </w:tcPr>
                <w:p>
                  <w:pPr>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296" w:type="pct"/>
                  <w:vMerge w:val="continue"/>
                  <w:vAlign w:val="center"/>
                </w:tcPr>
                <w:p>
                  <w:pPr>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446" w:type="pct"/>
                  <w:vMerge w:val="continue"/>
                  <w:vAlign w:val="center"/>
                </w:tcPr>
                <w:p>
                  <w:pPr>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666" w:type="pct"/>
                  <w:vMerge w:val="continue"/>
                  <w:vAlign w:val="center"/>
                </w:tcPr>
                <w:p>
                  <w:pPr>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615" w:type="pct"/>
                  <w:vMerge w:val="continue"/>
                  <w:vAlign w:val="center"/>
                </w:tcPr>
                <w:p>
                  <w:pPr>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1088" w:type="pct"/>
                  <w:vAlign w:val="center"/>
                </w:tcPr>
                <w:p>
                  <w:pPr>
                    <w:pStyle w:val="55"/>
                    <w:spacing w:line="280" w:lineRule="exact"/>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标准名称</w:t>
                  </w:r>
                </w:p>
              </w:tc>
              <w:tc>
                <w:tcPr>
                  <w:tcW w:w="692" w:type="pct"/>
                  <w:vAlign w:val="center"/>
                </w:tcPr>
                <w:p>
                  <w:pPr>
                    <w:pStyle w:val="55"/>
                    <w:spacing w:line="28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lang w:val="en-US" w:eastAsia="zh-CN"/>
                      <w14:textFill>
                        <w14:solidFill>
                          <w14:schemeClr w14:val="tx1"/>
                        </w14:solidFill>
                      </w14:textFill>
                    </w:rPr>
                    <w:t>浓度</w:t>
                  </w:r>
                  <w:r>
                    <w:rPr>
                      <w:rFonts w:hint="eastAsia" w:ascii="Times New Roman" w:hAnsi="Times New Roman" w:eastAsia="宋体" w:cs="Times New Roman"/>
                      <w:b/>
                      <w:color w:val="000000" w:themeColor="text1"/>
                      <w:szCs w:val="21"/>
                      <w:highlight w:val="none"/>
                      <w14:textFill>
                        <w14:solidFill>
                          <w14:schemeClr w14:val="tx1"/>
                        </w14:solidFill>
                      </w14:textFill>
                    </w:rPr>
                    <w:t>限值</w:t>
                  </w:r>
                  <w:r>
                    <w:rPr>
                      <w:rFonts w:ascii="Times New Roman" w:hAnsi="Times New Roman" w:eastAsia="宋体" w:cs="Times New Roman"/>
                      <w:b/>
                      <w:bCs/>
                      <w:color w:val="000000" w:themeColor="text1"/>
                      <w:szCs w:val="21"/>
                      <w:highlight w:val="none"/>
                      <w14:textFill>
                        <w14:solidFill>
                          <w14:schemeClr w14:val="tx1"/>
                        </w14:solidFill>
                      </w14:textFill>
                    </w:rPr>
                    <w:t>（</w:t>
                  </w:r>
                  <w:r>
                    <w:rPr>
                      <w:rFonts w:hint="eastAsia" w:ascii="Times New Roman" w:hAnsi="Times New Roman" w:eastAsia="宋体" w:cs="Times New Roman"/>
                      <w:b/>
                      <w:bCs/>
                      <w:color w:val="000000" w:themeColor="text1"/>
                      <w:szCs w:val="21"/>
                      <w:highlight w:val="none"/>
                      <w14:textFill>
                        <w14:solidFill>
                          <w14:schemeClr w14:val="tx1"/>
                        </w14:solidFill>
                      </w14:textFill>
                    </w:rPr>
                    <w:t>mg/m</w:t>
                  </w:r>
                  <w:r>
                    <w:rPr>
                      <w:rFonts w:hint="eastAsia" w:ascii="Times New Roman" w:hAnsi="Times New Roman" w:eastAsia="宋体" w:cs="Times New Roman"/>
                      <w:b/>
                      <w:bCs/>
                      <w:color w:val="000000" w:themeColor="text1"/>
                      <w:szCs w:val="21"/>
                      <w:highlight w:val="none"/>
                      <w:vertAlign w:val="superscript"/>
                      <w14:textFill>
                        <w14:solidFill>
                          <w14:schemeClr w14:val="tx1"/>
                        </w14:solidFill>
                      </w14:textFill>
                    </w:rPr>
                    <w:t>3</w:t>
                  </w:r>
                  <w:r>
                    <w:rPr>
                      <w:rFonts w:ascii="Times New Roman" w:hAnsi="Times New Roman" w:eastAsia="宋体" w:cs="Times New Roman"/>
                      <w:b/>
                      <w:bCs/>
                      <w:color w:val="000000" w:themeColor="text1"/>
                      <w:szCs w:val="21"/>
                      <w:highlight w:val="none"/>
                      <w14:textFill>
                        <w14:solidFill>
                          <w14:schemeClr w14:val="tx1"/>
                        </w14:solidFill>
                      </w14:textFill>
                    </w:rPr>
                    <w:t>）</w:t>
                  </w:r>
                </w:p>
              </w:tc>
              <w:tc>
                <w:tcPr>
                  <w:tcW w:w="647" w:type="pct"/>
                  <w:vAlign w:val="center"/>
                </w:tcPr>
                <w:p>
                  <w:pPr>
                    <w:pStyle w:val="55"/>
                    <w:spacing w:line="280" w:lineRule="exact"/>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速率限值（kg/h）</w:t>
                  </w:r>
                </w:p>
              </w:tc>
              <w:tc>
                <w:tcPr>
                  <w:tcW w:w="245" w:type="pct"/>
                  <w:vMerge w:val="continue"/>
                  <w:vAlign w:val="center"/>
                </w:tcPr>
                <w:p>
                  <w:pPr>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Merge w:val="restart"/>
                  <w:vAlign w:val="center"/>
                </w:tcPr>
                <w:p>
                  <w:pPr>
                    <w:adjustRightInd w:val="0"/>
                    <w:snapToGrid w:val="0"/>
                    <w:spacing w:line="240" w:lineRule="exact"/>
                    <w:jc w:val="center"/>
                    <w:rPr>
                      <w:rFonts w:hint="eastAsia" w:ascii="Times New Roman" w:hAnsi="Times New Roman" w:cs="Times New Roman" w:eastAsiaTheme="minorEastAsia"/>
                      <w:bCs/>
                      <w:color w:val="000000" w:themeColor="text1"/>
                      <w:spacing w:val="-1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pacing w:val="-11"/>
                      <w:szCs w:val="21"/>
                      <w:highlight w:val="none"/>
                      <w14:textFill>
                        <w14:solidFill>
                          <w14:schemeClr w14:val="tx1"/>
                        </w14:solidFill>
                      </w14:textFill>
                    </w:rPr>
                    <w:t>DA00</w:t>
                  </w:r>
                  <w:r>
                    <w:rPr>
                      <w:rFonts w:hint="eastAsia" w:ascii="Times New Roman" w:hAnsi="Times New Roman" w:cs="Times New Roman"/>
                      <w:bCs/>
                      <w:color w:val="000000" w:themeColor="text1"/>
                      <w:spacing w:val="-11"/>
                      <w:szCs w:val="21"/>
                      <w:highlight w:val="none"/>
                      <w:lang w:val="en-US" w:eastAsia="zh-CN"/>
                      <w14:textFill>
                        <w14:solidFill>
                          <w14:schemeClr w14:val="tx1"/>
                        </w14:solidFill>
                      </w14:textFill>
                    </w:rPr>
                    <w:t>3</w:t>
                  </w:r>
                </w:p>
              </w:tc>
              <w:tc>
                <w:tcPr>
                  <w:tcW w:w="296" w:type="pct"/>
                  <w:vMerge w:val="restar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干燥尾气</w:t>
                  </w:r>
                </w:p>
              </w:tc>
              <w:tc>
                <w:tcPr>
                  <w:tcW w:w="446" w:type="pct"/>
                  <w:vAlign w:val="center"/>
                </w:tcPr>
                <w:p>
                  <w:pPr>
                    <w:topLinePunc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颗粒物</w:t>
                  </w:r>
                </w:p>
              </w:tc>
              <w:tc>
                <w:tcPr>
                  <w:tcW w:w="66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23.88</w:t>
                  </w:r>
                </w:p>
              </w:tc>
              <w:tc>
                <w:tcPr>
                  <w:tcW w:w="615"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2.92</w:t>
                  </w:r>
                </w:p>
              </w:tc>
              <w:tc>
                <w:tcPr>
                  <w:tcW w:w="1088" w:type="pct"/>
                  <w:vMerge w:val="restart"/>
                  <w:vAlign w:val="center"/>
                </w:tcPr>
                <w:p>
                  <w:pPr>
                    <w:topLinePunct/>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《承德市工业炉窑综合治理实施方案》 及《大气污染物综合排放标准》 (GB16297-1996)表2新污染源大气污染物排放限值</w:t>
                  </w:r>
                </w:p>
              </w:tc>
              <w:tc>
                <w:tcPr>
                  <w:tcW w:w="692" w:type="pct"/>
                  <w:vAlign w:val="center"/>
                </w:tcPr>
                <w:p>
                  <w:pPr>
                    <w:topLinePunct/>
                    <w:jc w:val="center"/>
                    <w:textAlignment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30</w:t>
                  </w:r>
                </w:p>
              </w:tc>
              <w:tc>
                <w:tcPr>
                  <w:tcW w:w="647" w:type="pct"/>
                  <w:vAlign w:val="center"/>
                </w:tcPr>
                <w:p>
                  <w:pPr>
                    <w:topLinePunct/>
                    <w:jc w:val="center"/>
                    <w:textAlignment w:val="center"/>
                    <w:rPr>
                      <w:color w:val="000000" w:themeColor="text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245" w:type="pct"/>
                  <w:vAlign w:val="center"/>
                </w:tcPr>
                <w:p>
                  <w:pPr>
                    <w:snapToGrid w:val="0"/>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Merge w:val="continue"/>
                  <w:vAlign w:val="center"/>
                </w:tcPr>
                <w:p>
                  <w:pPr>
                    <w:adjustRightInd w:val="0"/>
                    <w:snapToGrid w:val="0"/>
                    <w:spacing w:line="240" w:lineRule="exact"/>
                    <w:jc w:val="center"/>
                    <w:rPr>
                      <w:rFonts w:ascii="Times New Roman" w:hAnsi="Times New Roman" w:cs="Times New Roman"/>
                      <w:bCs/>
                      <w:color w:val="000000" w:themeColor="text1"/>
                      <w:spacing w:val="-11"/>
                      <w:szCs w:val="21"/>
                      <w:highlight w:val="none"/>
                      <w14:textFill>
                        <w14:solidFill>
                          <w14:schemeClr w14:val="tx1"/>
                        </w14:solidFill>
                      </w14:textFill>
                    </w:rPr>
                  </w:pPr>
                </w:p>
              </w:tc>
              <w:tc>
                <w:tcPr>
                  <w:tcW w:w="296" w:type="pct"/>
                  <w:vMerge w:val="continue"/>
                  <w:vAlign w:val="center"/>
                </w:tcPr>
                <w:p>
                  <w:pPr>
                    <w:jc w:val="center"/>
                    <w:rPr>
                      <w:rFonts w:ascii="Times New Roman" w:hAnsi="Times New Roman" w:cs="Times New Roman"/>
                      <w:color w:val="000000" w:themeColor="text1"/>
                      <w:szCs w:val="21"/>
                      <w:highlight w:val="none"/>
                      <w14:textFill>
                        <w14:solidFill>
                          <w14:schemeClr w14:val="tx1"/>
                        </w14:solidFill>
                      </w14:textFill>
                    </w:rPr>
                  </w:pPr>
                </w:p>
              </w:tc>
              <w:tc>
                <w:tcPr>
                  <w:tcW w:w="446" w:type="pct"/>
                  <w:vAlign w:val="center"/>
                </w:tcPr>
                <w:p>
                  <w:pPr>
                    <w:topLinePunc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SO</w:t>
                  </w:r>
                  <w:r>
                    <w:rPr>
                      <w:rFonts w:hint="eastAsia" w:ascii="Times New Roman" w:hAnsi="Times New Roman" w:cs="Times New Roman"/>
                      <w:color w:val="000000" w:themeColor="text1"/>
                      <w:szCs w:val="21"/>
                      <w:highlight w:val="none"/>
                      <w:vertAlign w:val="subscript"/>
                      <w14:textFill>
                        <w14:solidFill>
                          <w14:schemeClr w14:val="tx1"/>
                        </w14:solidFill>
                      </w14:textFill>
                    </w:rPr>
                    <w:t>2</w:t>
                  </w:r>
                </w:p>
              </w:tc>
              <w:tc>
                <w:tcPr>
                  <w:tcW w:w="66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1.28</w:t>
                  </w:r>
                </w:p>
              </w:tc>
              <w:tc>
                <w:tcPr>
                  <w:tcW w:w="615"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0.16</w:t>
                  </w:r>
                </w:p>
              </w:tc>
              <w:tc>
                <w:tcPr>
                  <w:tcW w:w="1088" w:type="pct"/>
                  <w:vMerge w:val="continue"/>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92" w:type="pct"/>
                  <w:vAlign w:val="center"/>
                </w:tcPr>
                <w:p>
                  <w:pPr>
                    <w:topLinePunct/>
                    <w:jc w:val="center"/>
                    <w:textAlignment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200</w:t>
                  </w:r>
                </w:p>
              </w:tc>
              <w:tc>
                <w:tcPr>
                  <w:tcW w:w="647" w:type="pct"/>
                  <w:vAlign w:val="center"/>
                </w:tcPr>
                <w:p>
                  <w:pPr>
                    <w:topLinePunct/>
                    <w:jc w:val="center"/>
                    <w:textAlignment w:val="center"/>
                    <w:rPr>
                      <w:rFonts w:hint="default" w:eastAsia="宋体"/>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245"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Merge w:val="continue"/>
                  <w:vAlign w:val="center"/>
                </w:tcPr>
                <w:p>
                  <w:pPr>
                    <w:adjustRightInd w:val="0"/>
                    <w:snapToGrid w:val="0"/>
                    <w:spacing w:line="240" w:lineRule="exact"/>
                    <w:jc w:val="center"/>
                    <w:rPr>
                      <w:rFonts w:ascii="Times New Roman" w:hAnsi="Times New Roman" w:cs="Times New Roman"/>
                      <w:bCs/>
                      <w:color w:val="000000" w:themeColor="text1"/>
                      <w:spacing w:val="-11"/>
                      <w:szCs w:val="21"/>
                      <w:highlight w:val="none"/>
                      <w14:textFill>
                        <w14:solidFill>
                          <w14:schemeClr w14:val="tx1"/>
                        </w14:solidFill>
                      </w14:textFill>
                    </w:rPr>
                  </w:pPr>
                </w:p>
              </w:tc>
              <w:tc>
                <w:tcPr>
                  <w:tcW w:w="296" w:type="pct"/>
                  <w:vMerge w:val="continue"/>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46" w:type="pct"/>
                  <w:vAlign w:val="center"/>
                </w:tcPr>
                <w:p>
                  <w:pPr>
                    <w:topLinePunc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NOx</w:t>
                  </w:r>
                </w:p>
              </w:tc>
              <w:tc>
                <w:tcPr>
                  <w:tcW w:w="66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108.89</w:t>
                  </w:r>
                </w:p>
              </w:tc>
              <w:tc>
                <w:tcPr>
                  <w:tcW w:w="615"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13.30</w:t>
                  </w:r>
                </w:p>
              </w:tc>
              <w:tc>
                <w:tcPr>
                  <w:tcW w:w="1088" w:type="pct"/>
                  <w:vMerge w:val="continue"/>
                  <w:vAlign w:val="center"/>
                </w:tcPr>
                <w:p>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92" w:type="pct"/>
                  <w:vAlign w:val="center"/>
                </w:tcPr>
                <w:p>
                  <w:pPr>
                    <w:topLinePunct/>
                    <w:jc w:val="center"/>
                    <w:textAlignment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240</w:t>
                  </w:r>
                </w:p>
              </w:tc>
              <w:tc>
                <w:tcPr>
                  <w:tcW w:w="647" w:type="pct"/>
                  <w:vAlign w:val="center"/>
                </w:tcPr>
                <w:p>
                  <w:pPr>
                    <w:topLinePunct/>
                    <w:jc w:val="center"/>
                    <w:textAlignment w:val="center"/>
                    <w:rPr>
                      <w:rFonts w:hint="default"/>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14.0</w:t>
                  </w:r>
                </w:p>
              </w:tc>
              <w:tc>
                <w:tcPr>
                  <w:tcW w:w="245" w:type="pct"/>
                  <w:vAlign w:val="center"/>
                </w:tcPr>
                <w:p>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由上表可知，</w:t>
            </w:r>
            <w:r>
              <w:rPr>
                <w:rFonts w:hint="eastAsia" w:ascii="Times New Roman" w:hAnsi="Times New Roman" w:cs="Times New Roman"/>
                <w:color w:val="000000" w:themeColor="text1"/>
                <w:sz w:val="24"/>
                <w:highlight w:val="none"/>
                <w14:textFill>
                  <w14:solidFill>
                    <w14:schemeClr w14:val="tx1"/>
                  </w14:solidFill>
                </w14:textFill>
              </w:rPr>
              <w:t>产污节点有组织排放的颗粒物、SO</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、NO</w:t>
            </w:r>
            <w:r>
              <w:rPr>
                <w:rFonts w:hint="eastAsia" w:ascii="Times New Roman" w:hAnsi="Times New Roman" w:cs="Times New Roman"/>
                <w:color w:val="000000" w:themeColor="text1"/>
                <w:sz w:val="24"/>
                <w:highlight w:val="none"/>
                <w:vertAlign w:val="subscript"/>
                <w14:textFill>
                  <w14:solidFill>
                    <w14:schemeClr w14:val="tx1"/>
                  </w14:solidFill>
                </w14:textFill>
              </w:rPr>
              <w:t>X</w:t>
            </w:r>
            <w:r>
              <w:rPr>
                <w:rFonts w:hint="eastAsia" w:ascii="Times New Roman" w:hAnsi="Times New Roman" w:eastAsia="宋体" w:cs="Times New Roman"/>
                <w:color w:val="000000" w:themeColor="text1"/>
                <w:sz w:val="24"/>
                <w:highlight w:val="none"/>
                <w14:textFill>
                  <w14:solidFill>
                    <w14:schemeClr w14:val="tx1"/>
                  </w14:solidFill>
                </w14:textFill>
              </w:rPr>
              <w:t>均满足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《承德市工业炉窑综合治理实施方案》 及《大气污染物综合排放标准》 (GB16297-1996)表2新污染源大气污染物排放限值要求</w:t>
            </w:r>
            <w:r>
              <w:rPr>
                <w:rFonts w:hint="eastAsia" w:ascii="Times New Roman" w:hAnsi="Times New Roman" w:eastAsia="宋体"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为进一步论证项目的建设对环境的影响，</w:t>
            </w:r>
            <w:r>
              <w:rPr>
                <w:rFonts w:ascii="Times New Roman" w:hAnsi="Times New Roman" w:eastAsia="宋体" w:cs="Times New Roman"/>
                <w:color w:val="000000" w:themeColor="text1"/>
                <w:sz w:val="24"/>
                <w:highlight w:val="none"/>
                <w14:textFill>
                  <w14:solidFill>
                    <w14:schemeClr w14:val="tx1"/>
                  </w14:solidFill>
                </w14:textFill>
              </w:rPr>
              <w:t>本次评价采用预测软件EIAPro中AERSCREEN筛选计算及评价等级模块进行初步预测。</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项目以</w:t>
            </w:r>
            <w:r>
              <w:rPr>
                <w:rFonts w:hint="default" w:ascii="Times New Roman" w:hAnsi="Times New Roman" w:cs="Times New Roman"/>
                <w:color w:val="000000" w:themeColor="text1"/>
                <w:sz w:val="24"/>
                <w:szCs w:val="24"/>
                <w:highlight w:val="none"/>
                <w14:textFill>
                  <w14:solidFill>
                    <w14:schemeClr w14:val="tx1"/>
                  </w14:solidFill>
                </w14:textFill>
              </w:rPr>
              <w:t>NOx</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标准排放浓度及</w:t>
            </w:r>
            <w:r>
              <w:rPr>
                <w:rFonts w:hint="default" w:ascii="Times New Roman" w:hAnsi="Times New Roman" w:cs="Times New Roman"/>
                <w:color w:val="000000" w:themeColor="text1"/>
                <w:sz w:val="24"/>
                <w:szCs w:val="24"/>
                <w:highlight w:val="none"/>
                <w14:textFill>
                  <w14:solidFill>
                    <w14:schemeClr w14:val="tx1"/>
                  </w14:solidFill>
                </w14:textFill>
              </w:rPr>
              <w:t>NOx</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最高允许排放速率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为基础进行风量计算，颗粒物、</w:t>
            </w:r>
            <w:r>
              <w:rPr>
                <w:rFonts w:hint="default" w:ascii="Times New Roman" w:hAnsi="Times New Roman" w:cs="Times New Roman"/>
                <w:color w:val="000000" w:themeColor="text1"/>
                <w:sz w:val="24"/>
                <w:szCs w:val="24"/>
                <w:highlight w:val="none"/>
                <w14:textFill>
                  <w14:solidFill>
                    <w14:schemeClr w14:val="tx1"/>
                  </w14:solidFill>
                </w14:textFill>
              </w:rPr>
              <w:t>SO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相应排放速率计算过程见下表。</w:t>
            </w:r>
          </w:p>
          <w:p>
            <w:pPr>
              <w:pStyle w:val="15"/>
              <w:keepNext w:val="0"/>
              <w:keepLines w:val="0"/>
              <w:pageBreakBefore w:val="0"/>
              <w:widowControl w:val="0"/>
              <w:numPr>
                <w:ilvl w:val="0"/>
                <w:numId w:val="9"/>
              </w:numPr>
              <w:kinsoku/>
              <w:wordWrap/>
              <w:overflowPunct/>
              <w:topLinePunct w:val="0"/>
              <w:autoSpaceDE/>
              <w:autoSpaceDN/>
              <w:bidi w:val="0"/>
              <w:adjustRightInd/>
              <w:snapToGrid w:val="0"/>
              <w:ind w:left="0" w:leftChars="0" w:firstLine="0"/>
              <w:jc w:val="center"/>
              <w:textAlignment w:val="auto"/>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排放速率计算表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990"/>
              <w:gridCol w:w="1457"/>
              <w:gridCol w:w="1956"/>
              <w:gridCol w:w="1382"/>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9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序号</w:t>
                  </w:r>
                </w:p>
              </w:tc>
              <w:tc>
                <w:tcPr>
                  <w:tcW w:w="5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排放口编号</w:t>
                  </w:r>
                </w:p>
              </w:tc>
              <w:tc>
                <w:tcPr>
                  <w:tcW w:w="8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污染物</w:t>
                  </w:r>
                </w:p>
              </w:tc>
              <w:tc>
                <w:tcPr>
                  <w:tcW w:w="11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标准排放</w:t>
                  </w:r>
                  <w:r>
                    <w:rPr>
                      <w:rFonts w:hint="default" w:ascii="Times New Roman" w:hAnsi="Times New Roman" w:cs="Times New Roman"/>
                      <w:color w:val="000000" w:themeColor="text1"/>
                      <w:highlight w:val="none"/>
                      <w:lang w:val="en-US" w:eastAsia="zh-CN"/>
                      <w14:textFill>
                        <w14:solidFill>
                          <w14:schemeClr w14:val="tx1"/>
                        </w14:solidFill>
                      </w14:textFill>
                    </w:rPr>
                    <w:t>浓度（mg/m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81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风量</w:t>
                  </w:r>
                </w:p>
                <w:p>
                  <w:pPr>
                    <w:pStyle w:val="1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/h）</w:t>
                  </w:r>
                </w:p>
              </w:tc>
              <w:tc>
                <w:tcPr>
                  <w:tcW w:w="1178" w:type="pct"/>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相应</w:t>
                  </w:r>
                  <w:r>
                    <w:rPr>
                      <w:rFonts w:hint="default" w:ascii="Times New Roman" w:hAnsi="Times New Roman" w:cs="Times New Roman"/>
                      <w:color w:val="000000" w:themeColor="text1"/>
                      <w:highlight w:val="none"/>
                      <w:lang w:val="en-US" w:eastAsia="zh-CN"/>
                      <w14:textFill>
                        <w14:solidFill>
                          <w14:schemeClr w14:val="tx1"/>
                        </w14:solidFill>
                      </w14:textFill>
                    </w:rPr>
                    <w:t>排放速率（</w:t>
                  </w:r>
                  <w:r>
                    <w:rPr>
                      <w:rFonts w:hint="eastAsia" w:ascii="Times New Roman" w:hAnsi="Times New Roman" w:cs="Times New Roman"/>
                      <w:color w:val="000000" w:themeColor="text1"/>
                      <w:highlight w:val="none"/>
                      <w:lang w:val="en-US" w:eastAsia="zh-CN"/>
                      <w14:textFill>
                        <w14:solidFill>
                          <w14:schemeClr w14:val="tx1"/>
                        </w14:solidFill>
                      </w14:textFill>
                    </w:rPr>
                    <w:t>k</w:t>
                  </w:r>
                  <w:r>
                    <w:rPr>
                      <w:rFonts w:hint="default" w:ascii="Times New Roman" w:hAnsi="Times New Roman" w:cs="Times New Roman"/>
                      <w:color w:val="000000" w:themeColor="text1"/>
                      <w:highlight w:val="none"/>
                      <w:lang w:val="en-US" w:eastAsia="zh-CN"/>
                      <w14:textFill>
                        <w14:solidFill>
                          <w14:schemeClr w14:val="tx1"/>
                        </w14:solidFill>
                      </w14:textFill>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58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spacing w:val="-11"/>
                      <w:szCs w:val="21"/>
                      <w:highlight w:val="none"/>
                      <w14:textFill>
                        <w14:solidFill>
                          <w14:schemeClr w14:val="tx1"/>
                        </w14:solidFill>
                      </w14:textFill>
                    </w:rPr>
                    <w:t>DA00</w:t>
                  </w:r>
                  <w:r>
                    <w:rPr>
                      <w:rFonts w:hint="default" w:ascii="Times New Roman" w:hAnsi="Times New Roman" w:cs="Times New Roman"/>
                      <w:bCs/>
                      <w:color w:val="000000" w:themeColor="text1"/>
                      <w:spacing w:val="-11"/>
                      <w:szCs w:val="21"/>
                      <w:highlight w:val="none"/>
                      <w:lang w:val="en-US" w:eastAsia="zh-CN"/>
                      <w14:textFill>
                        <w14:solidFill>
                          <w14:schemeClr w14:val="tx1"/>
                        </w14:solidFill>
                      </w14:textFill>
                    </w:rPr>
                    <w:t>3</w:t>
                  </w:r>
                </w:p>
              </w:tc>
              <w:tc>
                <w:tcPr>
                  <w:tcW w:w="862" w:type="pct"/>
                  <w:vAlign w:val="center"/>
                </w:tcPr>
                <w:p>
                  <w:pPr>
                    <w:pStyle w:val="5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颗粒物</w:t>
                  </w:r>
                </w:p>
              </w:tc>
              <w:tc>
                <w:tcPr>
                  <w:tcW w:w="11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30</w:t>
                  </w:r>
                </w:p>
              </w:tc>
              <w:tc>
                <w:tcPr>
                  <w:tcW w:w="8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58333</w:t>
                  </w:r>
                </w:p>
              </w:tc>
              <w:tc>
                <w:tcPr>
                  <w:tcW w:w="11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8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11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200</w:t>
                  </w:r>
                </w:p>
              </w:tc>
              <w:tc>
                <w:tcPr>
                  <w:tcW w:w="8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1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8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NOx</w:t>
                  </w:r>
                </w:p>
              </w:tc>
              <w:tc>
                <w:tcPr>
                  <w:tcW w:w="11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240</w:t>
                  </w:r>
                </w:p>
              </w:tc>
              <w:tc>
                <w:tcPr>
                  <w:tcW w:w="8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1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14.0</w:t>
                  </w:r>
                </w:p>
              </w:tc>
            </w:tr>
          </w:tbl>
          <w:p>
            <w:pPr>
              <w:pStyle w:val="15"/>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leftChars="0" w:firstLine="0"/>
              <w:jc w:val="center"/>
              <w:textAlignment w:val="auto"/>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评价因子和评价标准筛选</w:t>
            </w:r>
          </w:p>
          <w:tbl>
            <w:tblPr>
              <w:tblStyle w:val="22"/>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91"/>
              <w:gridCol w:w="1815"/>
              <w:gridCol w:w="1328"/>
              <w:gridCol w:w="835"/>
              <w:gridCol w:w="24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38" w:type="pct"/>
                  <w:noWrap w:val="0"/>
                  <w:vAlign w:val="center"/>
                </w:tcPr>
                <w:p>
                  <w:pPr>
                    <w:pStyle w:val="49"/>
                    <w:spacing w:line="300" w:lineRule="exact"/>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环境要素</w:t>
                  </w:r>
                </w:p>
              </w:tc>
              <w:tc>
                <w:tcPr>
                  <w:tcW w:w="1601" w:type="pct"/>
                  <w:gridSpan w:val="2"/>
                  <w:noWrap w:val="0"/>
                  <w:vAlign w:val="center"/>
                </w:tcPr>
                <w:p>
                  <w:pPr>
                    <w:pStyle w:val="49"/>
                    <w:spacing w:line="300" w:lineRule="exact"/>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污染物名称</w:t>
                  </w:r>
                </w:p>
              </w:tc>
              <w:tc>
                <w:tcPr>
                  <w:tcW w:w="786" w:type="pct"/>
                  <w:noWrap w:val="0"/>
                  <w:vAlign w:val="center"/>
                </w:tcPr>
                <w:p>
                  <w:pPr>
                    <w:pStyle w:val="49"/>
                    <w:spacing w:line="300" w:lineRule="exact"/>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标准值</w:t>
                  </w:r>
                </w:p>
              </w:tc>
              <w:tc>
                <w:tcPr>
                  <w:tcW w:w="494" w:type="pct"/>
                  <w:noWrap w:val="0"/>
                  <w:vAlign w:val="center"/>
                </w:tcPr>
                <w:p>
                  <w:pPr>
                    <w:pStyle w:val="49"/>
                    <w:spacing w:line="300" w:lineRule="exact"/>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单位</w:t>
                  </w:r>
                </w:p>
              </w:tc>
              <w:tc>
                <w:tcPr>
                  <w:tcW w:w="1478" w:type="pct"/>
                  <w:noWrap w:val="0"/>
                  <w:vAlign w:val="center"/>
                </w:tcPr>
                <w:p>
                  <w:pPr>
                    <w:pStyle w:val="49"/>
                    <w:spacing w:line="300" w:lineRule="exact"/>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restar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w:t>
                  </w:r>
                </w:p>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气</w:t>
                  </w:r>
                </w:p>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w:t>
                  </w:r>
                </w:p>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境</w:t>
                  </w:r>
                </w:p>
              </w:tc>
              <w:tc>
                <w:tcPr>
                  <w:tcW w:w="527" w:type="pct"/>
                  <w:vMerge w:val="restar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SO</w:t>
                  </w:r>
                  <w:r>
                    <w:rPr>
                      <w:color w:val="000000" w:themeColor="text1"/>
                      <w:highlight w:val="none"/>
                      <w:vertAlign w:val="subscript"/>
                      <w14:textFill>
                        <w14:solidFill>
                          <w14:schemeClr w14:val="tx1"/>
                        </w14:solidFill>
                      </w14:textFill>
                    </w:rPr>
                    <w:t>2</w:t>
                  </w: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w:t>
                  </w:r>
                </w:p>
              </w:tc>
              <w:tc>
                <w:tcPr>
                  <w:tcW w:w="494" w:type="pct"/>
                  <w:vMerge w:val="restar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p>
              </w:tc>
              <w:tc>
                <w:tcPr>
                  <w:tcW w:w="1478" w:type="pct"/>
                  <w:vMerge w:val="restar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《环境空气质量标准》（GB3095-2012）及其修改单中的二级标准，原标准中对TSP、PM</w:t>
                  </w:r>
                  <w:r>
                    <w:rPr>
                      <w:color w:val="000000" w:themeColor="text1"/>
                      <w:highlight w:val="none"/>
                      <w:vertAlign w:val="subscript"/>
                      <w14:textFill>
                        <w14:solidFill>
                          <w14:schemeClr w14:val="tx1"/>
                        </w14:solidFill>
                      </w14:textFill>
                    </w:rPr>
                    <w:t>10</w:t>
                  </w:r>
                  <w:r>
                    <w:rPr>
                      <w:color w:val="000000" w:themeColor="text1"/>
                      <w:highlight w:val="none"/>
                      <w14:textFill>
                        <w14:solidFill>
                          <w14:schemeClr w14:val="tx1"/>
                        </w14:solidFill>
                      </w14:textFill>
                    </w:rPr>
                    <w:t>无小时平均标准，按小时标准相当于日均标准的3倍输入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24小时平均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1小时平均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restar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NO</w:t>
                  </w:r>
                  <w:r>
                    <w:rPr>
                      <w:rFonts w:hint="eastAsia"/>
                      <w:color w:val="000000" w:themeColor="text1"/>
                      <w:highlight w:val="none"/>
                      <w:vertAlign w:val="subscript"/>
                      <w14:textFill>
                        <w14:solidFill>
                          <w14:schemeClr w14:val="tx1"/>
                        </w14:solidFill>
                      </w14:textFill>
                    </w:rPr>
                    <w:t>x</w:t>
                  </w: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24小时平均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1小时平均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restar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TSP</w:t>
                  </w: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24小时平均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restar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10</w:t>
                  </w:r>
                </w:p>
              </w:tc>
              <w:tc>
                <w:tcPr>
                  <w:tcW w:w="1074"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8"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527" w:type="pct"/>
                  <w:vMerge w:val="continue"/>
                  <w:tcBorders>
                    <w:bottom w:val="single" w:color="auto" w:sz="4" w:space="0"/>
                  </w:tcBorders>
                  <w:noWrap w:val="0"/>
                  <w:vAlign w:val="center"/>
                </w:tcPr>
                <w:p>
                  <w:pPr>
                    <w:pStyle w:val="49"/>
                    <w:spacing w:line="300" w:lineRule="exact"/>
                    <w:rPr>
                      <w:color w:val="000000" w:themeColor="text1"/>
                      <w:highlight w:val="none"/>
                      <w14:textFill>
                        <w14:solidFill>
                          <w14:schemeClr w14:val="tx1"/>
                        </w14:solidFill>
                      </w14:textFill>
                    </w:rPr>
                  </w:pPr>
                </w:p>
              </w:tc>
              <w:tc>
                <w:tcPr>
                  <w:tcW w:w="1074" w:type="pct"/>
                  <w:tcBorders>
                    <w:bottom w:val="single" w:color="auto" w:sz="4" w:space="0"/>
                  </w:tcBorders>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24小时平均</w:t>
                  </w:r>
                </w:p>
              </w:tc>
              <w:tc>
                <w:tcPr>
                  <w:tcW w:w="786" w:type="pct"/>
                  <w:noWrap w:val="0"/>
                  <w:vAlign w:val="center"/>
                </w:tcPr>
                <w:p>
                  <w:pPr>
                    <w:pStyle w:val="49"/>
                    <w:spacing w:line="3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150</w:t>
                  </w:r>
                </w:p>
              </w:tc>
              <w:tc>
                <w:tcPr>
                  <w:tcW w:w="494" w:type="pct"/>
                  <w:vMerge w:val="continue"/>
                  <w:noWrap w:val="0"/>
                  <w:vAlign w:val="center"/>
                </w:tcPr>
                <w:p>
                  <w:pPr>
                    <w:pStyle w:val="49"/>
                    <w:spacing w:line="300" w:lineRule="exact"/>
                    <w:rPr>
                      <w:color w:val="000000" w:themeColor="text1"/>
                      <w:highlight w:val="none"/>
                      <w14:textFill>
                        <w14:solidFill>
                          <w14:schemeClr w14:val="tx1"/>
                        </w14:solidFill>
                      </w14:textFill>
                    </w:rPr>
                  </w:pPr>
                </w:p>
              </w:tc>
              <w:tc>
                <w:tcPr>
                  <w:tcW w:w="1478" w:type="pct"/>
                  <w:vMerge w:val="continue"/>
                  <w:noWrap w:val="0"/>
                  <w:vAlign w:val="center"/>
                </w:tcPr>
                <w:p>
                  <w:pPr>
                    <w:pStyle w:val="49"/>
                    <w:spacing w:line="300" w:lineRule="exact"/>
                    <w:rPr>
                      <w:color w:val="000000" w:themeColor="text1"/>
                      <w:highlight w:val="none"/>
                      <w14:textFill>
                        <w14:solidFill>
                          <w14:schemeClr w14:val="tx1"/>
                        </w14:solidFill>
                      </w14:textFill>
                    </w:rPr>
                  </w:pPr>
                </w:p>
              </w:tc>
            </w:tr>
          </w:tbl>
          <w:p>
            <w:pPr>
              <w:pStyle w:val="15"/>
              <w:keepNext w:val="0"/>
              <w:keepLines w:val="0"/>
              <w:pageBreakBefore w:val="0"/>
              <w:widowControl w:val="0"/>
              <w:numPr>
                <w:ilvl w:val="0"/>
                <w:numId w:val="9"/>
              </w:numPr>
              <w:kinsoku/>
              <w:wordWrap/>
              <w:overflowPunct/>
              <w:topLinePunct w:val="0"/>
              <w:autoSpaceDE/>
              <w:autoSpaceDN/>
              <w:bidi w:val="0"/>
              <w:adjustRightInd/>
              <w:snapToGrid w:val="0"/>
              <w:ind w:left="0" w:leftChars="0" w:firstLine="0"/>
              <w:jc w:val="center"/>
              <w:textAlignment w:val="auto"/>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估算模型参数表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2"/>
              <w:gridCol w:w="2482"/>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1" w:type="pct"/>
                  <w:gridSpan w:val="2"/>
                  <w:noWrap w:val="0"/>
                  <w:vAlign w:val="center"/>
                </w:tcPr>
                <w:p>
                  <w:pPr>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参数</w:t>
                  </w:r>
                </w:p>
              </w:tc>
              <w:tc>
                <w:tcPr>
                  <w:tcW w:w="2128" w:type="pct"/>
                  <w:noWrap w:val="0"/>
                  <w:vAlign w:val="center"/>
                </w:tcPr>
                <w:p>
                  <w:pPr>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pct"/>
                  <w:vMerge w:val="restar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城市/农村选项</w:t>
                  </w:r>
                </w:p>
              </w:tc>
              <w:tc>
                <w:tcPr>
                  <w:tcW w:w="1468" w:type="pc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城市/农村</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pct"/>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468" w:type="pc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人口数（城市选项时）</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1" w:type="pct"/>
                  <w:gridSpan w:val="2"/>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最高环境温度</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1" w:type="pct"/>
                  <w:gridSpan w:val="2"/>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最低环境温度</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1" w:type="pct"/>
                  <w:gridSpan w:val="2"/>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土地利用类型</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落叶林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1" w:type="pct"/>
                  <w:gridSpan w:val="2"/>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区域湿度条件</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pct"/>
                  <w:vMerge w:val="restar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是否考虑地形</w:t>
                  </w:r>
                </w:p>
              </w:tc>
              <w:tc>
                <w:tcPr>
                  <w:tcW w:w="1468" w:type="pc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考虑地形</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pct"/>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468" w:type="pc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地形数据分辨率/m</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pct"/>
                  <w:vMerge w:val="restar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是否考虑岸线熏烟</w:t>
                  </w:r>
                </w:p>
              </w:tc>
              <w:tc>
                <w:tcPr>
                  <w:tcW w:w="1468" w:type="pc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考虑岸线熏烟</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pct"/>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468" w:type="pc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岸线距离/km</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pct"/>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468" w:type="pct"/>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岸线方向/°</w:t>
                  </w:r>
                </w:p>
              </w:tc>
              <w:tc>
                <w:tcPr>
                  <w:tcW w:w="2128" w:type="pct"/>
                  <w:noWrap w:val="0"/>
                  <w:vAlign w:val="center"/>
                </w:tcPr>
                <w:p>
                  <w:pPr>
                    <w:widowControl/>
                    <w:adjustRightInd/>
                    <w:snapToGrid/>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val="0"/>
              <w:spacing w:before="313" w:beforeLines="100"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环境保护目标与点源位置关系见下表。</w:t>
            </w:r>
          </w:p>
          <w:p>
            <w:pPr>
              <w:pStyle w:val="15"/>
              <w:keepNext w:val="0"/>
              <w:keepLines w:val="0"/>
              <w:pageBreakBefore w:val="0"/>
              <w:widowControl w:val="0"/>
              <w:numPr>
                <w:ilvl w:val="0"/>
                <w:numId w:val="9"/>
              </w:numPr>
              <w:kinsoku/>
              <w:wordWrap/>
              <w:overflowPunct/>
              <w:topLinePunct w:val="0"/>
              <w:autoSpaceDE/>
              <w:autoSpaceDN/>
              <w:bidi w:val="0"/>
              <w:adjustRightInd/>
              <w:snapToGrid w:val="0"/>
              <w:ind w:left="0" w:leftChars="0" w:firstLine="0"/>
              <w:jc w:val="center"/>
              <w:textAlignment w:val="auto"/>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环境保护目标</w:t>
            </w:r>
          </w:p>
          <w:tbl>
            <w:tblPr>
              <w:tblStyle w:val="22"/>
              <w:tblW w:w="494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4"/>
              <w:gridCol w:w="1005"/>
              <w:gridCol w:w="1095"/>
              <w:gridCol w:w="795"/>
              <w:gridCol w:w="1050"/>
              <w:gridCol w:w="855"/>
              <w:gridCol w:w="705"/>
              <w:gridCol w:w="975"/>
              <w:gridCol w:w="1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456"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环境要素</w:t>
                  </w:r>
                </w:p>
              </w:tc>
              <w:tc>
                <w:tcPr>
                  <w:tcW w:w="1254" w:type="pct"/>
                  <w:gridSpan w:val="2"/>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坐标</w:t>
                  </w:r>
                </w:p>
              </w:tc>
              <w:tc>
                <w:tcPr>
                  <w:tcW w:w="475"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保护对象</w:t>
                  </w:r>
                </w:p>
              </w:tc>
              <w:tc>
                <w:tcPr>
                  <w:tcW w:w="627"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保护内容</w:t>
                  </w:r>
                </w:p>
              </w:tc>
              <w:tc>
                <w:tcPr>
                  <w:tcW w:w="510"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环境功能区</w:t>
                  </w:r>
                </w:p>
              </w:tc>
              <w:tc>
                <w:tcPr>
                  <w:tcW w:w="421"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相对</w:t>
                  </w:r>
                  <w:r>
                    <w:rPr>
                      <w:rFonts w:hint="eastAsia"/>
                      <w:b/>
                      <w:color w:val="000000" w:themeColor="text1"/>
                      <w:sz w:val="21"/>
                      <w:szCs w:val="21"/>
                      <w:highlight w:val="none"/>
                      <w:lang w:val="en-US" w:eastAsia="zh-CN"/>
                      <w14:textFill>
                        <w14:solidFill>
                          <w14:schemeClr w14:val="tx1"/>
                        </w14:solidFill>
                      </w14:textFill>
                    </w:rPr>
                    <w:t>点源</w:t>
                  </w:r>
                  <w:r>
                    <w:rPr>
                      <w:b/>
                      <w:color w:val="000000" w:themeColor="text1"/>
                      <w:sz w:val="21"/>
                      <w:szCs w:val="21"/>
                      <w:highlight w:val="none"/>
                      <w14:textFill>
                        <w14:solidFill>
                          <w14:schemeClr w14:val="tx1"/>
                        </w14:solidFill>
                      </w14:textFill>
                    </w:rPr>
                    <w:t>方位</w:t>
                  </w:r>
                </w:p>
              </w:tc>
              <w:tc>
                <w:tcPr>
                  <w:tcW w:w="582"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相对厂界距离（m）</w:t>
                  </w:r>
                </w:p>
              </w:tc>
              <w:tc>
                <w:tcPr>
                  <w:tcW w:w="671"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环境质量标准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6"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600" w:type="pc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E</w:t>
                  </w:r>
                </w:p>
              </w:tc>
              <w:tc>
                <w:tcPr>
                  <w:tcW w:w="654" w:type="pc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N</w:t>
                  </w:r>
                </w:p>
              </w:tc>
              <w:tc>
                <w:tcPr>
                  <w:tcW w:w="475"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627"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510"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421"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582"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671"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56" w:type="pct"/>
                  <w:vMerge w:val="restart"/>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环境空气</w:t>
                  </w:r>
                </w:p>
              </w:tc>
              <w:tc>
                <w:tcPr>
                  <w:tcW w:w="600"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26.798</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654"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59</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6.408</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475"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二十三号村</w:t>
                  </w:r>
                </w:p>
              </w:tc>
              <w:tc>
                <w:tcPr>
                  <w:tcW w:w="627"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510" w:type="pct"/>
                  <w:vMerge w:val="restart"/>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二</w:t>
                  </w:r>
                  <w:r>
                    <w:rPr>
                      <w:bCs/>
                      <w:color w:val="000000" w:themeColor="text1"/>
                      <w:sz w:val="21"/>
                      <w:szCs w:val="21"/>
                      <w:highlight w:val="none"/>
                      <w14:textFill>
                        <w14:solidFill>
                          <w14:schemeClr w14:val="tx1"/>
                        </w14:solidFill>
                      </w14:textFill>
                    </w:rPr>
                    <w:t>类区</w:t>
                  </w:r>
                </w:p>
              </w:tc>
              <w:tc>
                <w:tcPr>
                  <w:tcW w:w="421"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西</w:t>
                  </w:r>
                </w:p>
              </w:tc>
              <w:tc>
                <w:tcPr>
                  <w:tcW w:w="582"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210</w:t>
                  </w:r>
                </w:p>
              </w:tc>
              <w:tc>
                <w:tcPr>
                  <w:tcW w:w="671" w:type="pct"/>
                  <w:vMerge w:val="restar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《环境空气质量标准》（GB3095-2012）及其修改单中的二级标准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6" w:type="pct"/>
                  <w:vMerge w:val="continue"/>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p>
              </w:tc>
              <w:tc>
                <w:tcPr>
                  <w:tcW w:w="600"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43</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9.748</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654"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58</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57.756</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475" w:type="pct"/>
                  <w:shd w:val="clear" w:color="auto" w:fill="auto"/>
                  <w:vAlign w:val="center"/>
                </w:tcPr>
                <w:p>
                  <w:pPr>
                    <w:widowControl/>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十九号村</w:t>
                  </w:r>
                </w:p>
              </w:tc>
              <w:tc>
                <w:tcPr>
                  <w:tcW w:w="627"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510" w:type="pct"/>
                  <w:vMerge w:val="continue"/>
                  <w:shd w:val="clear" w:color="auto" w:fill="auto"/>
                  <w:vAlign w:val="center"/>
                </w:tcPr>
                <w:p>
                  <w:pPr>
                    <w:pStyle w:val="21"/>
                    <w:spacing w:after="0" w:line="240" w:lineRule="auto"/>
                    <w:ind w:left="0" w:leftChars="0" w:firstLine="0" w:firstLineChars="0"/>
                    <w:jc w:val="center"/>
                    <w:rPr>
                      <w:rFonts w:hint="eastAsia"/>
                      <w:bCs/>
                      <w:color w:val="000000" w:themeColor="text1"/>
                      <w:sz w:val="21"/>
                      <w:szCs w:val="21"/>
                      <w:highlight w:val="none"/>
                      <w14:textFill>
                        <w14:solidFill>
                          <w14:schemeClr w14:val="tx1"/>
                        </w14:solidFill>
                      </w14:textFill>
                    </w:rPr>
                  </w:pPr>
                </w:p>
              </w:tc>
              <w:tc>
                <w:tcPr>
                  <w:tcW w:w="421" w:type="pct"/>
                  <w:shd w:val="clear" w:color="auto" w:fill="auto"/>
                  <w:vAlign w:val="center"/>
                </w:tcPr>
                <w:p>
                  <w:pPr>
                    <w:topLinePunct/>
                    <w:jc w:val="center"/>
                    <w:rPr>
                      <w:rFonts w:hint="default" w:ascii="Times New Roman" w:hAnsi="Times New Roman" w:eastAsia="宋体" w:cs="Times New Roman"/>
                      <w:bCs/>
                      <w:color w:val="000000" w:themeColor="text1"/>
                      <w:kern w:val="44"/>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东</w:t>
                  </w:r>
                </w:p>
              </w:tc>
              <w:tc>
                <w:tcPr>
                  <w:tcW w:w="582"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611</w:t>
                  </w:r>
                </w:p>
              </w:tc>
              <w:tc>
                <w:tcPr>
                  <w:tcW w:w="671" w:type="pct"/>
                  <w:vMerge w:val="continue"/>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6" w:type="pct"/>
                  <w:vMerge w:val="continue"/>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p>
              </w:tc>
              <w:tc>
                <w:tcPr>
                  <w:tcW w:w="600"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34.600</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654"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58</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2.152</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475" w:type="pct"/>
                  <w:shd w:val="clear" w:color="auto" w:fill="auto"/>
                  <w:vAlign w:val="center"/>
                </w:tcPr>
                <w:p>
                  <w:pPr>
                    <w:widowControl/>
                    <w:jc w:val="center"/>
                    <w:textAlignment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小杨树沟</w:t>
                  </w:r>
                </w:p>
              </w:tc>
              <w:tc>
                <w:tcPr>
                  <w:tcW w:w="627"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510" w:type="pct"/>
                  <w:vMerge w:val="continue"/>
                  <w:shd w:val="clear" w:color="auto" w:fill="auto"/>
                  <w:vAlign w:val="center"/>
                </w:tcPr>
                <w:p>
                  <w:pPr>
                    <w:pStyle w:val="21"/>
                    <w:spacing w:after="0" w:line="240" w:lineRule="auto"/>
                    <w:ind w:left="0" w:leftChars="0" w:firstLine="0" w:firstLineChars="0"/>
                    <w:jc w:val="center"/>
                    <w:rPr>
                      <w:rFonts w:hint="eastAsia"/>
                      <w:bCs/>
                      <w:color w:val="000000" w:themeColor="text1"/>
                      <w:sz w:val="21"/>
                      <w:szCs w:val="21"/>
                      <w:highlight w:val="none"/>
                      <w14:textFill>
                        <w14:solidFill>
                          <w14:schemeClr w14:val="tx1"/>
                        </w14:solidFill>
                      </w14:textFill>
                    </w:rPr>
                  </w:pPr>
                </w:p>
              </w:tc>
              <w:tc>
                <w:tcPr>
                  <w:tcW w:w="421" w:type="pct"/>
                  <w:shd w:val="clear" w:color="auto" w:fill="auto"/>
                  <w:vAlign w:val="center"/>
                </w:tcPr>
                <w:p>
                  <w:pPr>
                    <w:topLinePunct/>
                    <w:jc w:val="center"/>
                    <w:rPr>
                      <w:rFonts w:hint="default" w:ascii="Times New Roman" w:hAnsi="Times New Roman" w:eastAsia="宋体" w:cs="Times New Roman"/>
                      <w:bCs/>
                      <w:color w:val="000000" w:themeColor="text1"/>
                      <w:kern w:val="44"/>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南</w:t>
                  </w:r>
                </w:p>
              </w:tc>
              <w:tc>
                <w:tcPr>
                  <w:tcW w:w="582"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563</w:t>
                  </w:r>
                </w:p>
              </w:tc>
              <w:tc>
                <w:tcPr>
                  <w:tcW w:w="671" w:type="pct"/>
                  <w:vMerge w:val="continue"/>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6" w:type="pct"/>
                  <w:vMerge w:val="continue"/>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p>
              </w:tc>
              <w:tc>
                <w:tcPr>
                  <w:tcW w:w="600"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10.267</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654"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58</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42.306</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475" w:type="pct"/>
                  <w:shd w:val="clear" w:color="auto" w:fill="auto"/>
                  <w:vAlign w:val="center"/>
                </w:tcPr>
                <w:p>
                  <w:pPr>
                    <w:widowControl/>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头板沟门村</w:t>
                  </w:r>
                </w:p>
              </w:tc>
              <w:tc>
                <w:tcPr>
                  <w:tcW w:w="627" w:type="pct"/>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居民</w:t>
                  </w:r>
                </w:p>
              </w:tc>
              <w:tc>
                <w:tcPr>
                  <w:tcW w:w="510" w:type="pct"/>
                  <w:vMerge w:val="continue"/>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p>
              </w:tc>
              <w:tc>
                <w:tcPr>
                  <w:tcW w:w="421" w:type="pct"/>
                  <w:shd w:val="clear" w:color="auto" w:fill="auto"/>
                  <w:vAlign w:val="center"/>
                </w:tcPr>
                <w:p>
                  <w:pPr>
                    <w:topLinePunct/>
                    <w:jc w:val="center"/>
                    <w:rPr>
                      <w:rFonts w:hint="default" w:ascii="Times New Roman" w:hAnsi="Times New Roman" w:eastAsia="宋体" w:cs="Times New Roman"/>
                      <w:bCs/>
                      <w:color w:val="000000" w:themeColor="text1"/>
                      <w:kern w:val="44"/>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西南</w:t>
                  </w:r>
                </w:p>
              </w:tc>
              <w:tc>
                <w:tcPr>
                  <w:tcW w:w="582"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794</w:t>
                  </w:r>
                </w:p>
              </w:tc>
              <w:tc>
                <w:tcPr>
                  <w:tcW w:w="671" w:type="pct"/>
                  <w:vMerge w:val="continue"/>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6" w:type="pct"/>
                  <w:vMerge w:val="continue"/>
                  <w:shd w:val="clear" w:color="auto" w:fill="auto"/>
                  <w:vAlign w:val="center"/>
                </w:tcPr>
                <w:p>
                  <w:pPr>
                    <w:pStyle w:val="21"/>
                    <w:spacing w:after="0" w:line="240" w:lineRule="auto"/>
                    <w:ind w:left="0" w:leftChars="0" w:firstLine="0" w:firstLineChars="0"/>
                    <w:jc w:val="center"/>
                    <w:rPr>
                      <w:b/>
                      <w:color w:val="000000" w:themeColor="text1"/>
                      <w:sz w:val="21"/>
                      <w:szCs w:val="21"/>
                      <w:highlight w:val="none"/>
                      <w14:textFill>
                        <w14:solidFill>
                          <w14:schemeClr w14:val="tx1"/>
                        </w14:solidFill>
                      </w14:textFill>
                    </w:rPr>
                  </w:pPr>
                </w:p>
              </w:tc>
              <w:tc>
                <w:tcPr>
                  <w:tcW w:w="600"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117°</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42</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32.833</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654" w:type="pct"/>
                  <w:shd w:val="clear" w:color="auto" w:fill="auto"/>
                  <w:vAlign w:val="center"/>
                </w:tcPr>
                <w:p>
                  <w:pPr>
                    <w:widowControl/>
                    <w:jc w:val="center"/>
                    <w:textAlignment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41°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58</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51.301</w:t>
                  </w:r>
                  <w:r>
                    <w:rPr>
                      <w:rFonts w:ascii="Times New Roman" w:hAnsi="Times New Roman" w:eastAsia="宋体" w:cs="Times New Roman"/>
                      <w:bCs/>
                      <w:color w:val="000000" w:themeColor="text1"/>
                      <w:szCs w:val="21"/>
                      <w:highlight w:val="none"/>
                      <w14:textFill>
                        <w14:solidFill>
                          <w14:schemeClr w14:val="tx1"/>
                        </w14:solidFill>
                      </w14:textFill>
                    </w:rPr>
                    <w:t>″</w:t>
                  </w:r>
                </w:p>
              </w:tc>
              <w:tc>
                <w:tcPr>
                  <w:tcW w:w="475" w:type="pct"/>
                  <w:shd w:val="clear" w:color="auto" w:fill="auto"/>
                  <w:vAlign w:val="center"/>
                </w:tcPr>
                <w:p>
                  <w:pPr>
                    <w:widowControl/>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伊逊河</w:t>
                  </w:r>
                </w:p>
              </w:tc>
              <w:tc>
                <w:tcPr>
                  <w:tcW w:w="627"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生态红线</w:t>
                  </w:r>
                </w:p>
              </w:tc>
              <w:tc>
                <w:tcPr>
                  <w:tcW w:w="510" w:type="pct"/>
                  <w:shd w:val="clear" w:color="auto" w:fill="auto"/>
                  <w:vAlign w:val="center"/>
                </w:tcPr>
                <w:p>
                  <w:pPr>
                    <w:pStyle w:val="21"/>
                    <w:spacing w:after="0" w:line="240" w:lineRule="auto"/>
                    <w:ind w:left="0" w:leftChars="0"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二</w:t>
                  </w:r>
                  <w:r>
                    <w:rPr>
                      <w:bCs/>
                      <w:color w:val="000000" w:themeColor="text1"/>
                      <w:sz w:val="21"/>
                      <w:szCs w:val="21"/>
                      <w:highlight w:val="none"/>
                      <w14:textFill>
                        <w14:solidFill>
                          <w14:schemeClr w14:val="tx1"/>
                        </w14:solidFill>
                      </w14:textFill>
                    </w:rPr>
                    <w:t>类区</w:t>
                  </w:r>
                </w:p>
              </w:tc>
              <w:tc>
                <w:tcPr>
                  <w:tcW w:w="421" w:type="pct"/>
                  <w:shd w:val="clear" w:color="auto" w:fill="auto"/>
                  <w:vAlign w:val="center"/>
                </w:tcPr>
                <w:p>
                  <w:pPr>
                    <w:topLinePunct/>
                    <w:jc w:val="center"/>
                    <w:rPr>
                      <w:rFonts w:hint="default" w:ascii="Times New Roman" w:hAnsi="Times New Roman" w:eastAsia="宋体" w:cs="Times New Roman"/>
                      <w:bCs/>
                      <w:color w:val="000000" w:themeColor="text1"/>
                      <w:kern w:val="44"/>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44"/>
                      <w:szCs w:val="21"/>
                      <w:highlight w:val="none"/>
                      <w:lang w:val="en-US" w:eastAsia="zh-CN"/>
                      <w14:textFill>
                        <w14:solidFill>
                          <w14:schemeClr w14:val="tx1"/>
                        </w14:solidFill>
                      </w14:textFill>
                    </w:rPr>
                    <w:t>南</w:t>
                  </w:r>
                </w:p>
              </w:tc>
              <w:tc>
                <w:tcPr>
                  <w:tcW w:w="582" w:type="pct"/>
                  <w:shd w:val="clear" w:color="auto" w:fill="auto"/>
                  <w:vAlign w:val="center"/>
                </w:tcPr>
                <w:p>
                  <w:pPr>
                    <w:topLinePunct/>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334</w:t>
                  </w:r>
                </w:p>
              </w:tc>
              <w:tc>
                <w:tcPr>
                  <w:tcW w:w="671" w:type="pct"/>
                  <w:vMerge w:val="continue"/>
                  <w:shd w:val="clear" w:color="auto" w:fill="auto"/>
                  <w:vAlign w:val="center"/>
                </w:tcPr>
                <w:p>
                  <w:pPr>
                    <w:topLinePunct/>
                    <w:jc w:val="center"/>
                    <w:rPr>
                      <w:rFonts w:ascii="Times New Roman" w:hAnsi="Times New Roman" w:eastAsia="宋体" w:cs="Times New Roman"/>
                      <w:bCs/>
                      <w:color w:val="000000" w:themeColor="text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after="937" w:afterLines="300" w:line="360" w:lineRule="auto"/>
              <w:ind w:firstLine="480" w:firstLineChars="200"/>
              <w:textAlignment w:val="auto"/>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本</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预测因子为PM</w:t>
            </w:r>
            <w:r>
              <w:rPr>
                <w:rFonts w:hint="eastAsia" w:ascii="Times New Roman" w:hAnsi="Times New Roman" w:eastAsia="宋体" w:cs="Times New Roman"/>
                <w:color w:val="000000" w:themeColor="text1"/>
                <w:sz w:val="24"/>
                <w:highlight w:val="none"/>
                <w:vertAlign w:val="subscript"/>
                <w:lang w:eastAsia="zh-CN"/>
                <w14:textFill>
                  <w14:solidFill>
                    <w14:schemeClr w14:val="tx1"/>
                  </w14:solidFill>
                </w14:textFill>
              </w:rPr>
              <w:t>10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、SO</w:t>
            </w:r>
            <w:r>
              <w:rPr>
                <w:rFonts w:hint="eastAsia" w:ascii="Times New Roman" w:hAnsi="Times New Roman" w:eastAsia="宋体" w:cs="Times New Roman"/>
                <w:color w:val="000000" w:themeColor="text1"/>
                <w:sz w:val="24"/>
                <w:highlight w:val="none"/>
                <w:vertAlign w:val="subscript"/>
                <w:lang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、NOx，预测结果见下表。</w:t>
            </w:r>
          </w:p>
          <w:p>
            <w:pPr>
              <w:pStyle w:val="15"/>
              <w:keepNext w:val="0"/>
              <w:keepLines w:val="0"/>
              <w:pageBreakBefore w:val="0"/>
              <w:widowControl w:val="0"/>
              <w:numPr>
                <w:ilvl w:val="0"/>
                <w:numId w:val="9"/>
              </w:numPr>
              <w:kinsoku/>
              <w:wordWrap/>
              <w:overflowPunct/>
              <w:topLinePunct w:val="0"/>
              <w:autoSpaceDE/>
              <w:autoSpaceDN/>
              <w:bidi w:val="0"/>
              <w:adjustRightInd/>
              <w:snapToGrid w:val="0"/>
              <w:ind w:left="0" w:leftChars="0" w:firstLine="0"/>
              <w:jc w:val="center"/>
              <w:textAlignment w:val="auto"/>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有组织点源估算模型计算结果表</w:t>
            </w:r>
          </w:p>
          <w:tbl>
            <w:tblPr>
              <w:tblStyle w:val="22"/>
              <w:tblW w:w="8286"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506"/>
              <w:gridCol w:w="1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1080" w:type="dxa"/>
                  <w:vMerge w:val="restar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下风向距离</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w:t>
                  </w:r>
                </w:p>
              </w:tc>
              <w:tc>
                <w:tcPr>
                  <w:tcW w:w="720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干燥尾气（</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DA003</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blHeader/>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PM</w:t>
                  </w:r>
                  <w:r>
                    <w:rPr>
                      <w:rFonts w:hint="default" w:ascii="Times New Roman" w:hAnsi="Times New Roman" w:eastAsia="宋体" w:cs="Times New Roman"/>
                      <w:b/>
                      <w:bCs/>
                      <w:i w:val="0"/>
                      <w:iCs w:val="0"/>
                      <w:color w:val="000000" w:themeColor="text1"/>
                      <w:kern w:val="0"/>
                      <w:sz w:val="21"/>
                      <w:szCs w:val="21"/>
                      <w:highlight w:val="none"/>
                      <w:u w:val="none"/>
                      <w:vertAlign w:val="subscript"/>
                      <w:lang w:val="en-US" w:eastAsia="zh-CN" w:bidi="ar"/>
                      <w14:textFill>
                        <w14:solidFill>
                          <w14:schemeClr w14:val="tx1"/>
                        </w14:solidFill>
                      </w14:textFill>
                    </w:rPr>
                    <w:t>10</w:t>
                  </w:r>
                </w:p>
              </w:tc>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b/>
                      <w:bCs/>
                      <w:i w:val="0"/>
                      <w:iCs w:val="0"/>
                      <w:color w:val="000000" w:themeColor="text1"/>
                      <w:kern w:val="0"/>
                      <w:sz w:val="21"/>
                      <w:szCs w:val="21"/>
                      <w:highlight w:val="none"/>
                      <w:u w:val="none"/>
                      <w:vertAlign w:val="subscript"/>
                      <w:lang w:val="en-US" w:eastAsia="zh-CN" w:bidi="ar"/>
                      <w14:textFill>
                        <w14:solidFill>
                          <w14:schemeClr w14:val="tx1"/>
                        </w14:solidFill>
                      </w14:textFill>
                    </w:rPr>
                    <w:t>2</w:t>
                  </w:r>
                </w:p>
              </w:tc>
              <w:tc>
                <w:tcPr>
                  <w:tcW w:w="28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NO</w:t>
                  </w:r>
                  <w:r>
                    <w:rPr>
                      <w:rFonts w:hint="default" w:ascii="Times New Roman" w:hAnsi="Times New Roman" w:eastAsia="宋体" w:cs="Times New Roman"/>
                      <w:b/>
                      <w:bCs/>
                      <w:i w:val="0"/>
                      <w:iCs w:val="0"/>
                      <w:color w:val="000000" w:themeColor="text1"/>
                      <w:kern w:val="0"/>
                      <w:sz w:val="21"/>
                      <w:szCs w:val="21"/>
                      <w:highlight w:val="none"/>
                      <w:u w:val="none"/>
                      <w:vertAlign w:val="subscript"/>
                      <w:lang w:val="en-US" w:eastAsia="zh-CN" w:bidi="ar"/>
                      <w14:textFill>
                        <w14:solidFill>
                          <w14:schemeClr w14:val="tx1"/>
                        </w14:solidFill>
                      </w14:textFill>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blHeader/>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预测浓度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占标率</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预测浓度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占标率</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预测浓度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占标率</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80" w:type="dxa"/>
                  <w:tcBorders>
                    <w:top w:val="single" w:color="auto" w:sz="4"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2.61E-04</w:t>
                  </w:r>
                </w:p>
              </w:tc>
              <w:tc>
                <w:tcPr>
                  <w:tcW w:w="1080" w:type="dxa"/>
                  <w:tcBorders>
                    <w:top w:val="single" w:color="auto" w:sz="4"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w:t>
                  </w:r>
                </w:p>
              </w:tc>
              <w:tc>
                <w:tcPr>
                  <w:tcW w:w="1080" w:type="dxa"/>
                  <w:tcBorders>
                    <w:top w:val="single" w:color="auto" w:sz="4"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1.74E-03</w:t>
                  </w:r>
                </w:p>
              </w:tc>
              <w:tc>
                <w:tcPr>
                  <w:tcW w:w="1080" w:type="dxa"/>
                  <w:tcBorders>
                    <w:top w:val="single" w:color="auto" w:sz="4"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0.35</w:t>
                  </w:r>
                </w:p>
              </w:tc>
              <w:tc>
                <w:tcPr>
                  <w:tcW w:w="1506" w:type="dxa"/>
                  <w:tcBorders>
                    <w:top w:val="single" w:color="auto" w:sz="4"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2.09E-03</w:t>
                  </w:r>
                </w:p>
              </w:tc>
              <w:tc>
                <w:tcPr>
                  <w:tcW w:w="1380" w:type="dxa"/>
                  <w:tcBorders>
                    <w:top w:val="single" w:color="auto" w:sz="4"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6.84E-04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4.56E-03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0.91</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5.47E-03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2.58E-03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0.57</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1.72E-02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3.45</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2.07E-02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55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2.62E-03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0.58</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1.75E-02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3.5</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2.10E-02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0.52</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1.55E-02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1.30E-02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1.56E-02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2.13E-03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0.47</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1.42E-02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2.84</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1.70E-02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0.47</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1.42E-02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2.83</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1.70E-02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2.06E-03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0.46</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1.37E-02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2.75</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1.65E-02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2.04E-03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1.36E-02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2.71</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1.63E-02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210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2.01E-03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0.45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1.34E-02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2.68</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1.61E-02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1.30E-02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1.56E-02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0.41</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1.24E-02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2.48</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1.49E-02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0.39</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1.17E-02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2.34</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1.40E-02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0.37</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1.10E-02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1.32E-02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1.54E-03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0.34</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1.03E-02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2.06</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1.23E-02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1.51E-03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1.44E-03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0.32</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9.59E-03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1.92</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1.15E-02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8.97E-03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1.79</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1.08E-02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1.30E-03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0.29</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8.65E-03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1.73</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1.04E-02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0.28</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8.33E-03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1.67</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1.21E-03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0.27</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1.61</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9.65E-03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0.26</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1.55</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9.30E-03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7.45E-03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1.49</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8.94E-03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1.07E-03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7.15E-03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1.43</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8.58E-03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1.03E-03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6.86E-03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1.37</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8.23E-03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1.01E-03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0.22</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1.34</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8.06E-03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9.88E-04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0.22</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6.58E-03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1.32</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7.90E-03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9.48E-04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0.21</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1.26</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7.58E-03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611</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9.31E-04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0.21</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6.21E-03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1.24</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7.45E-03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9.10E-04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6.06E-03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1.21</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7.28E-03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8.73E-04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6.99E-03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8.39E-04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5.59E-03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1.12</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6.71E-03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8.06E-04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0.18</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5.38E-03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1.08</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6.45E-03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7.76E-04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5.17E-03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1.03</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7.46E-04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4.98E-03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5.97E-03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7.19E-04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4.79E-03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0.96</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5.75E-03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6.99E-04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4.66E-03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0.93</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5.59E-03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6.93E-04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0.92</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5.54E-03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6.68E-04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4.46E-03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0.89</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5.35E-03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6.45E-04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4.30E-03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0.86</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5.16E-03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875</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6.23E-04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0.83</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4.98E-03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6.02E-04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4.01E-03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4.82E-03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op w:val="nil"/>
                    <w:left w:val="nil"/>
                    <w:bottom w:val="single" w:color="000000" w:sz="8"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nil"/>
                    <w:left w:val="nil"/>
                    <w:bottom w:val="single" w:color="000000" w:sz="8"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nil"/>
                    <w:left w:val="nil"/>
                    <w:bottom w:val="single" w:color="000000" w:sz="8"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6"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80" w:type="dxa"/>
                  <w:tcBorders>
                    <w:top w:val="nil"/>
                    <w:left w:val="nil"/>
                    <w:bottom w:val="single" w:color="000000" w:sz="8"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5.29E-04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3.53E-03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0.71</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4.23E-03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4.99E-04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3.33E-03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0.67</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3.99E-03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5.81E-04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3.87E-03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0.77</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4.64E-03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2500</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5.63E-04</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3.75E-03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0.75</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4.50E-03</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下风向最大质量浓度及占标率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2.62E-03</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0.58</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1.75E-02</w:t>
                  </w:r>
                </w:p>
              </w:tc>
              <w:tc>
                <w:tcPr>
                  <w:tcW w:w="10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3.5</w:t>
                  </w:r>
                </w:p>
              </w:tc>
              <w:tc>
                <w:tcPr>
                  <w:tcW w:w="150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2.10E-02</w:t>
                  </w:r>
                </w:p>
              </w:tc>
              <w:tc>
                <w:tcPr>
                  <w:tcW w:w="138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8.39</w:t>
                  </w:r>
                </w:p>
              </w:tc>
            </w:tr>
          </w:tbl>
          <w:p>
            <w:pPr>
              <w:snapToGrid w:val="0"/>
              <w:spacing w:line="360"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根据估算结果，干燥尾气中</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NO</w:t>
            </w:r>
            <w:r>
              <w:rPr>
                <w:rFonts w:hint="default" w:ascii="Times New Roman" w:hAnsi="Times New Roman" w:cs="Times New Roman"/>
                <w:b w:val="0"/>
                <w:bCs w:val="0"/>
                <w:color w:val="000000" w:themeColor="text1"/>
                <w:sz w:val="24"/>
                <w:szCs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highlight w:val="none"/>
                <w:lang w:val="en-US" w:eastAsia="zh-CN"/>
                <w14:textFill>
                  <w14:solidFill>
                    <w14:schemeClr w14:val="tx1"/>
                  </w14:solidFill>
                </w14:textFill>
              </w:rPr>
              <w:t>质量浓度占标率最大，最大质量浓度占标率为8.39%，与监测点距离55m。环境保护目标处最大落地浓度占标率为6.43%。</w:t>
            </w:r>
          </w:p>
          <w:p>
            <w:pPr>
              <w:numPr>
                <w:ilvl w:val="0"/>
                <w:numId w:val="10"/>
              </w:numPr>
              <w:snapToGrid w:val="0"/>
              <w:spacing w:line="360" w:lineRule="auto"/>
              <w:ind w:firstLine="482" w:firstLineChars="200"/>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总量达标分析</w:t>
            </w:r>
          </w:p>
          <w:p>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经计算，项目SO</w:t>
            </w:r>
            <w:r>
              <w:rPr>
                <w:rFonts w:hint="eastAsia" w:ascii="Times New Roman" w:hAnsi="Times New Roman"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、NOx排放量分别为1.06t/a、89.77t/a，</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本项目技改完成后全厂</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SO</w:t>
            </w:r>
            <w:r>
              <w:rPr>
                <w:rFonts w:hint="eastAsia" w:ascii="Times New Roman" w:hAnsi="Times New Roman"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、NOx</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排放总量</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控制指标分别</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为85.800t/a</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102.960t/a</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。SO</w:t>
            </w:r>
            <w:r>
              <w:rPr>
                <w:rFonts w:hint="eastAsia" w:ascii="Times New Roman" w:hAnsi="Times New Roman"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、NOx排放量小于</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总量</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控制指标，满足总量控制相关要求。</w:t>
            </w:r>
          </w:p>
          <w:p>
            <w:pPr>
              <w:snapToGrid w:val="0"/>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9</w:t>
            </w:r>
            <w:r>
              <w:rPr>
                <w:rFonts w:ascii="Times New Roman" w:hAnsi="Times New Roman" w:cs="Times New Roman"/>
                <w:b/>
                <w:bCs/>
                <w:color w:val="000000" w:themeColor="text1"/>
                <w:sz w:val="24"/>
                <w:highlight w:val="none"/>
                <w14:textFill>
                  <w14:solidFill>
                    <w14:schemeClr w14:val="tx1"/>
                  </w14:solidFill>
                </w14:textFill>
              </w:rPr>
              <w:t>）大气环境影响评价结论</w:t>
            </w:r>
          </w:p>
          <w:p>
            <w:pPr>
              <w:snapToGrid w:val="0"/>
              <w:spacing w:line="360" w:lineRule="auto"/>
              <w:ind w:firstLine="480" w:firstLineChars="200"/>
              <w:rPr>
                <w:rFonts w:hint="eastAsia" w:ascii="Times New Roman" w:hAnsi="Times New Roman" w:cs="Times New Roman" w:eastAsiaTheme="minorEastAsia"/>
                <w:color w:val="000000" w:themeColor="text1"/>
                <w:sz w:val="24"/>
                <w:highlight w:val="none"/>
                <w:vertAlign w:val="baseline"/>
                <w:lang w:val="en-US" w:eastAsia="zh-CN"/>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项目所在区域为达标</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热能中心产生的烟气经脱硝、除尘净化处理后，净化后的烟气作为洁净烟气用于干燥湿刨花，最终干燥机尾气经旋风除尘器和湿式静电除尘系统处理后通过1根55m高排气筒（3#排气筒）排放。项目</w:t>
            </w:r>
            <w:r>
              <w:rPr>
                <w:rFonts w:hint="eastAsia" w:ascii="Times New Roman" w:hAnsi="Times New Roman" w:cs="Times New Roman"/>
                <w:color w:val="000000" w:themeColor="text1"/>
                <w:sz w:val="24"/>
                <w:highlight w:val="none"/>
                <w14:textFill>
                  <w14:solidFill>
                    <w14:schemeClr w14:val="tx1"/>
                  </w14:solidFill>
                </w14:textFill>
              </w:rPr>
              <w:t>有组织排放的颗粒物、SO</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、NO</w:t>
            </w:r>
            <w:r>
              <w:rPr>
                <w:rFonts w:hint="eastAsia" w:ascii="Times New Roman" w:hAnsi="Times New Roman" w:cs="Times New Roman"/>
                <w:color w:val="000000" w:themeColor="text1"/>
                <w:sz w:val="24"/>
                <w:highlight w:val="none"/>
                <w:vertAlign w:val="subscript"/>
                <w14:textFill>
                  <w14:solidFill>
                    <w14:schemeClr w14:val="tx1"/>
                  </w14:solidFill>
                </w14:textFill>
              </w:rPr>
              <w:t>X</w:t>
            </w:r>
            <w:r>
              <w:rPr>
                <w:rFonts w:hint="eastAsia" w:ascii="Times New Roman" w:hAnsi="Times New Roman" w:eastAsia="宋体" w:cs="Times New Roman"/>
                <w:color w:val="000000" w:themeColor="text1"/>
                <w:sz w:val="24"/>
                <w:highlight w:val="none"/>
                <w14:textFill>
                  <w14:solidFill>
                    <w14:schemeClr w14:val="tx1"/>
                  </w14:solidFill>
                </w14:textFill>
              </w:rPr>
              <w:t>均满足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《承德市工业炉窑综合治理实施方案》 及《大气污染物综合排放标准》 (GB16297-1996)表2新污染源大气污染物排放限值要求。</w:t>
            </w:r>
            <w:r>
              <w:rPr>
                <w:rFonts w:hint="eastAsia" w:ascii="Times New Roman" w:hAnsi="Times New Roman" w:cs="Times New Roman"/>
                <w:color w:val="000000" w:themeColor="text1"/>
                <w:sz w:val="24"/>
                <w:highlight w:val="none"/>
                <w:lang w:val="en-US" w:eastAsia="zh-CN"/>
                <w14:textFill>
                  <w14:solidFill>
                    <w14:schemeClr w14:val="tx1"/>
                  </w14:solidFill>
                </w14:textFill>
              </w:rPr>
              <w:t>根据预测软件中AERSCREEN筛选计算及评价等级模块进行初步预测结果，干燥尾气中</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NO</w:t>
            </w:r>
            <w:r>
              <w:rPr>
                <w:rFonts w:hint="default" w:ascii="Times New Roman" w:hAnsi="Times New Roman" w:cs="Times New Roman"/>
                <w:b w:val="0"/>
                <w:bCs w:val="0"/>
                <w:color w:val="000000" w:themeColor="text1"/>
                <w:sz w:val="24"/>
                <w:szCs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highlight w:val="none"/>
                <w:lang w:val="en-US" w:eastAsia="zh-CN"/>
                <w14:textFill>
                  <w14:solidFill>
                    <w14:schemeClr w14:val="tx1"/>
                  </w14:solidFill>
                </w14:textFill>
              </w:rPr>
              <w:t>质量浓度占标率最大，最大质量浓度占标率为8.39%，环境保护目标处最大质量浓度占标率为6.43%，项目的建设对环境影响较小。经总量达标情况分析，项目</w:t>
            </w:r>
            <w:r>
              <w:rPr>
                <w:rFonts w:hint="eastAsia" w:ascii="Times New Roman" w:hAnsi="Times New Roman" w:cs="Times New Roman"/>
                <w:color w:val="000000" w:themeColor="text1"/>
                <w:sz w:val="24"/>
                <w:highlight w:val="none"/>
                <w14:textFill>
                  <w14:solidFill>
                    <w14:schemeClr w14:val="tx1"/>
                  </w14:solidFill>
                </w14:textFill>
              </w:rPr>
              <w:t>SO</w:t>
            </w:r>
            <w:r>
              <w:rPr>
                <w:rFonts w:hint="eastAsia" w:ascii="Times New Roman" w:hAnsi="Times New Roman" w:cs="Times New Roman"/>
                <w:color w:val="000000" w:themeColor="text1"/>
                <w:sz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highlight w:val="none"/>
                <w14:textFill>
                  <w14:solidFill>
                    <w14:schemeClr w14:val="tx1"/>
                  </w14:solidFill>
                </w14:textFill>
              </w:rPr>
              <w:t>、NO</w:t>
            </w:r>
            <w:r>
              <w:rPr>
                <w:rFonts w:hint="eastAsia" w:ascii="Times New Roman" w:hAnsi="Times New Roman" w:cs="Times New Roman"/>
                <w:color w:val="000000" w:themeColor="text1"/>
                <w:sz w:val="24"/>
                <w:highlight w:val="none"/>
                <w:vertAlign w:val="subscript"/>
                <w14:textFill>
                  <w14:solidFill>
                    <w14:schemeClr w14:val="tx1"/>
                  </w14:solidFill>
                </w14:textFill>
              </w:rPr>
              <w:t>X</w:t>
            </w:r>
            <w:r>
              <w:rPr>
                <w:rFonts w:hint="eastAsia" w:ascii="Times New Roman" w:hAnsi="Times New Roman" w:cs="Times New Roman"/>
                <w:color w:val="000000" w:themeColor="text1"/>
                <w:sz w:val="24"/>
                <w:highlight w:val="none"/>
                <w:lang w:val="en-US" w:eastAsia="zh-CN"/>
                <w14:textFill>
                  <w14:solidFill>
                    <w14:schemeClr w14:val="tx1"/>
                  </w14:solidFill>
                </w14:textFill>
              </w:rPr>
              <w:t>的排放量</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满足总量控制相关要求。</w:t>
            </w:r>
          </w:p>
          <w:p>
            <w:pPr>
              <w:adjustRightInd w:val="0"/>
              <w:snapToGrid w:val="0"/>
              <w:spacing w:line="360" w:lineRule="auto"/>
              <w:ind w:firstLine="480" w:firstLineChars="200"/>
              <w:rPr>
                <w:color w:val="000000" w:themeColor="text1"/>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综上所述，项目</w:t>
            </w:r>
            <w:r>
              <w:rPr>
                <w:rFonts w:hint="eastAsia" w:ascii="Times New Roman" w:hAnsi="Times New Roman" w:cs="Times New Roman"/>
                <w:color w:val="000000" w:themeColor="text1"/>
                <w:sz w:val="24"/>
                <w:highlight w:val="none"/>
                <w14:textFill>
                  <w14:solidFill>
                    <w14:schemeClr w14:val="tx1"/>
                  </w14:solidFill>
                </w14:textFill>
              </w:rPr>
              <w:t>运营期</w:t>
            </w:r>
            <w:r>
              <w:rPr>
                <w:rFonts w:ascii="Times New Roman" w:hAnsi="Times New Roman" w:cs="Times New Roman"/>
                <w:color w:val="000000" w:themeColor="text1"/>
                <w:sz w:val="24"/>
                <w:highlight w:val="none"/>
                <w14:textFill>
                  <w14:solidFill>
                    <w14:schemeClr w14:val="tx1"/>
                  </w14:solidFill>
                </w14:textFill>
              </w:rPr>
              <w:t>大气污染源采取了切实有效的污染防治措施，</w:t>
            </w:r>
            <w:r>
              <w:rPr>
                <w:rFonts w:hint="eastAsia" w:ascii="Times New Roman" w:hAnsi="Times New Roman" w:cs="Times New Roman"/>
                <w:color w:val="000000" w:themeColor="text1"/>
                <w:sz w:val="24"/>
                <w:highlight w:val="none"/>
                <w14:textFill>
                  <w14:solidFill>
                    <w14:schemeClr w14:val="tx1"/>
                  </w14:solidFill>
                </w14:textFill>
              </w:rPr>
              <w:t>运营期</w:t>
            </w:r>
            <w:r>
              <w:rPr>
                <w:rFonts w:ascii="Times New Roman" w:hAnsi="Times New Roman" w:cs="Times New Roman"/>
                <w:color w:val="000000" w:themeColor="text1"/>
                <w:sz w:val="24"/>
                <w:highlight w:val="none"/>
                <w14:textFill>
                  <w14:solidFill>
                    <w14:schemeClr w14:val="tx1"/>
                  </w14:solidFill>
                </w14:textFill>
              </w:rPr>
              <w:t>产生的大气污染物满足达标排放要求，</w:t>
            </w:r>
            <w:r>
              <w:rPr>
                <w:rFonts w:hint="eastAsia" w:ascii="Times New Roman" w:hAnsi="Times New Roman" w:cs="Times New Roman"/>
                <w:color w:val="000000" w:themeColor="text1"/>
                <w:sz w:val="24"/>
                <w:highlight w:val="none"/>
                <w14:textFill>
                  <w14:solidFill>
                    <w14:schemeClr w14:val="tx1"/>
                  </w14:solidFill>
                </w14:textFill>
              </w:rPr>
              <w:t>运营期</w:t>
            </w:r>
            <w:r>
              <w:rPr>
                <w:rFonts w:ascii="Times New Roman" w:hAnsi="Times New Roman" w:cs="Times New Roman"/>
                <w:color w:val="000000" w:themeColor="text1"/>
                <w:sz w:val="24"/>
                <w:highlight w:val="none"/>
                <w14:textFill>
                  <w14:solidFill>
                    <w14:schemeClr w14:val="tx1"/>
                  </w14:solidFill>
                </w14:textFill>
              </w:rPr>
              <w:t>大气环境影响可以接受</w:t>
            </w:r>
            <w:r>
              <w:rPr>
                <w:rFonts w:hint="eastAsia" w:ascii="Times New Roman" w:hAnsi="Times New Roman" w:cs="Times New Roman"/>
                <w:color w:val="000000" w:themeColor="text1"/>
                <w:sz w:val="24"/>
                <w:highlight w:val="none"/>
                <w14:textFill>
                  <w14:solidFill>
                    <w14:schemeClr w14:val="tx1"/>
                  </w14:solidFill>
                </w14:textFill>
              </w:rPr>
              <w:t>。</w:t>
            </w:r>
          </w:p>
          <w:p>
            <w:pPr>
              <w:snapToGrid w:val="0"/>
              <w:spacing w:line="360" w:lineRule="auto"/>
              <w:ind w:firstLine="482"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2、水环境影响和保护措施</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本项目无新增废水产生。</w:t>
            </w:r>
          </w:p>
          <w:p>
            <w:pPr>
              <w:adjustRightInd w:val="0"/>
              <w:snapToGrid w:val="0"/>
              <w:spacing w:before="156" w:beforeLines="50" w:line="360" w:lineRule="auto"/>
              <w:ind w:firstLine="482"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3、声环境影响和保护措施</w:t>
            </w:r>
          </w:p>
          <w:p>
            <w:pPr>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（1）噪声源强分析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本项目</w:t>
            </w:r>
            <w:r>
              <w:rPr>
                <w:rFonts w:hint="eastAsia" w:ascii="Times New Roman" w:hAnsi="Times New Roman" w:cs="Times New Roman"/>
                <w:color w:val="000000" w:themeColor="text1"/>
                <w:sz w:val="24"/>
                <w:highlight w:val="none"/>
                <w14:textFill>
                  <w14:solidFill>
                    <w14:schemeClr w14:val="tx1"/>
                  </w14:solidFill>
                </w14:textFill>
              </w:rPr>
              <w:t>运营期</w:t>
            </w:r>
            <w:r>
              <w:rPr>
                <w:rFonts w:ascii="Times New Roman" w:hAnsi="Times New Roman" w:cs="Times New Roman"/>
                <w:color w:val="000000" w:themeColor="text1"/>
                <w:sz w:val="24"/>
                <w:highlight w:val="none"/>
                <w14:textFill>
                  <w14:solidFill>
                    <w14:schemeClr w14:val="tx1"/>
                  </w14:solidFill>
                </w14:textFill>
              </w:rPr>
              <w:t>主要噪声为</w:t>
            </w:r>
            <w:r>
              <w:rPr>
                <w:rFonts w:hint="eastAsia" w:ascii="Times New Roman" w:hAnsi="Times New Roman" w:cs="Times New Roman"/>
                <w:color w:val="000000" w:themeColor="text1"/>
                <w:sz w:val="24"/>
                <w:highlight w:val="none"/>
                <w:lang w:val="en-US" w:eastAsia="zh-CN"/>
                <w14:textFill>
                  <w14:solidFill>
                    <w14:schemeClr w14:val="tx1"/>
                  </w14:solidFill>
                </w14:textFill>
              </w:rPr>
              <w:t>鼓风机设备</w:t>
            </w:r>
            <w:r>
              <w:rPr>
                <w:rFonts w:ascii="Times New Roman" w:hAnsi="Times New Roman" w:cs="Times New Roman"/>
                <w:color w:val="000000" w:themeColor="text1"/>
                <w:sz w:val="24"/>
                <w:highlight w:val="none"/>
                <w14:textFill>
                  <w14:solidFill>
                    <w14:schemeClr w14:val="tx1"/>
                  </w14:solidFill>
                </w14:textFill>
              </w:rPr>
              <w:t>噪声</w:t>
            </w:r>
            <w:r>
              <w:rPr>
                <w:rFonts w:hint="eastAsia" w:ascii="Times New Roman" w:hAnsi="Times New Roman" w:cs="Times New Roman"/>
                <w:bCs/>
                <w:color w:val="000000" w:themeColor="text1"/>
                <w:szCs w:val="21"/>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噪声源强见下表。</w:t>
            </w:r>
          </w:p>
          <w:p>
            <w:pPr>
              <w:pStyle w:val="15"/>
              <w:widowControl w:val="0"/>
              <w:numPr>
                <w:ilvl w:val="0"/>
                <w:numId w:val="9"/>
              </w:numPr>
              <w:snapToGrid w:val="0"/>
              <w:spacing w:line="360" w:lineRule="auto"/>
              <w:ind w:leftChars="0" w:firstLine="0"/>
              <w:jc w:val="center"/>
              <w:rPr>
                <w:rFonts w:hint="default" w:ascii="Times New Roman" w:hAnsi="Times New Roman"/>
                <w:b/>
                <w:bCs/>
                <w:color w:val="000000" w:themeColor="text1"/>
                <w:sz w:val="21"/>
                <w:szCs w:val="21"/>
                <w:highlight w:val="none"/>
                <w14:textFill>
                  <w14:solidFill>
                    <w14:schemeClr w14:val="tx1"/>
                  </w14:solidFill>
                </w14:textFill>
              </w:rPr>
            </w:pPr>
            <w:r>
              <w:rPr>
                <w:rFonts w:hint="default" w:ascii="Times New Roman" w:hAnsi="Times New Roman"/>
                <w:b/>
                <w:bCs/>
                <w:color w:val="000000" w:themeColor="text1"/>
                <w:sz w:val="21"/>
                <w:szCs w:val="21"/>
                <w:highlight w:val="none"/>
                <w14:textFill>
                  <w14:solidFill>
                    <w14:schemeClr w14:val="tx1"/>
                  </w14:solidFill>
                </w14:textFill>
              </w:rPr>
              <w:t>主要噪声源一览表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3"/>
              <w:gridCol w:w="1129"/>
              <w:gridCol w:w="1390"/>
              <w:gridCol w:w="2553"/>
              <w:gridCol w:w="1564"/>
              <w:gridCol w:w="113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0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序号</w:t>
                  </w:r>
                </w:p>
              </w:tc>
              <w:tc>
                <w:tcPr>
                  <w:tcW w:w="6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噪声源</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噪声等级</w:t>
                  </w:r>
                </w:p>
              </w:tc>
              <w:tc>
                <w:tcPr>
                  <w:tcW w:w="151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采取的措施</w:t>
                  </w:r>
                </w:p>
              </w:tc>
              <w:tc>
                <w:tcPr>
                  <w:tcW w:w="9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降噪效果</w:t>
                  </w: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持续时间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0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6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鼓风机</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80dB（A）</w:t>
                  </w:r>
                </w:p>
              </w:tc>
              <w:tc>
                <w:tcPr>
                  <w:tcW w:w="1510" w:type="pc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选用低噪声设备、设备进行基础减振等</w:t>
                  </w:r>
                </w:p>
              </w:tc>
              <w:tc>
                <w:tcPr>
                  <w:tcW w:w="9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降噪20-25dB</w:t>
                  </w: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6750</w:t>
                  </w:r>
                  <w:r>
                    <w:rPr>
                      <w:rFonts w:ascii="Times New Roman" w:hAnsi="Times New Roman" w:cs="Times New Roman"/>
                      <w:color w:val="000000" w:themeColor="text1"/>
                      <w:sz w:val="21"/>
                      <w:szCs w:val="21"/>
                      <w:highlight w:val="none"/>
                      <w14:textFill>
                        <w14:solidFill>
                          <w14:schemeClr w14:val="tx1"/>
                        </w14:solidFill>
                      </w14:textFill>
                    </w:rPr>
                    <w:t>h/a</w:t>
                  </w:r>
                </w:p>
              </w:tc>
            </w:tr>
          </w:tbl>
          <w:p>
            <w:pPr>
              <w:numPr>
                <w:ilvl w:val="0"/>
                <w:numId w:val="11"/>
              </w:numPr>
              <w:adjustRightInd w:val="0"/>
              <w:snapToGrid w:val="0"/>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噪声达标情况分析</w:t>
            </w:r>
          </w:p>
          <w:p>
            <w:pPr>
              <w:adjustRightInd w:val="0"/>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建设单位拟采取以下措施：①选取低噪声设备；②设备基础减振，并在生产运转时必须定期对其进行检查，保证设备正常运转；</w:t>
            </w:r>
            <w:r>
              <w:rPr>
                <w:rFonts w:hint="eastAsia" w:ascii="Times New Roman" w:hAnsi="Times New Roman" w:cs="Times New Roman"/>
                <w:color w:val="000000" w:themeColor="text1"/>
                <w:sz w:val="24"/>
                <w:highlight w:val="none"/>
                <w:lang w:val="en-US" w:eastAsia="zh-CN"/>
                <w14:textFill>
                  <w14:solidFill>
                    <w14:schemeClr w14:val="tx1"/>
                  </w14:solidFill>
                </w14:textFill>
              </w:rPr>
              <w:t>③</w:t>
            </w:r>
            <w:r>
              <w:rPr>
                <w:rFonts w:hint="eastAsia" w:ascii="Times New Roman" w:hAnsi="Times New Roman" w:cs="Times New Roman"/>
                <w:color w:val="000000" w:themeColor="text1"/>
                <w:sz w:val="24"/>
                <w:highlight w:val="none"/>
                <w14:textFill>
                  <w14:solidFill>
                    <w14:schemeClr w14:val="tx1"/>
                  </w14:solidFill>
                </w14:textFill>
              </w:rPr>
              <w:t>设备定期维护保养。</w:t>
            </w:r>
          </w:p>
          <w:p>
            <w:pPr>
              <w:spacing w:line="360" w:lineRule="auto"/>
              <w:ind w:firstLine="48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项目声环境</w:t>
            </w:r>
            <w:r>
              <w:rPr>
                <w:rFonts w:ascii="Times New Roman" w:hAnsi="Times New Roman" w:eastAsia="宋体" w:cs="Times New Roman"/>
                <w:color w:val="000000" w:themeColor="text1"/>
                <w:sz w:val="24"/>
                <w:highlight w:val="none"/>
                <w14:textFill>
                  <w14:solidFill>
                    <w14:schemeClr w14:val="tx1"/>
                  </w14:solidFill>
                </w14:textFill>
              </w:rPr>
              <w:t>预测过程中，各噪声设备在一定的距离处可以被视作点源，设备所处位置、与墙壁的距离、房间常数、与预测点的距离、隔墙厚度等均按实际布设确定，同时考虑了地形因素的影响。为便于比较项目</w:t>
            </w:r>
            <w:r>
              <w:rPr>
                <w:rFonts w:hint="eastAsia" w:ascii="Times New Roman" w:hAnsi="Times New Roman" w:eastAsia="宋体" w:cs="Times New Roman"/>
                <w:color w:val="000000" w:themeColor="text1"/>
                <w:sz w:val="24"/>
                <w:highlight w:val="none"/>
                <w14:textFill>
                  <w14:solidFill>
                    <w14:schemeClr w14:val="tx1"/>
                  </w14:solidFill>
                </w14:textFill>
              </w:rPr>
              <w:t>建成</w:t>
            </w:r>
            <w:r>
              <w:rPr>
                <w:rFonts w:ascii="Times New Roman" w:hAnsi="Times New Roman" w:eastAsia="宋体" w:cs="Times New Roman"/>
                <w:color w:val="000000" w:themeColor="text1"/>
                <w:sz w:val="24"/>
                <w:highlight w:val="none"/>
                <w14:textFill>
                  <w14:solidFill>
                    <w14:schemeClr w14:val="tx1"/>
                  </w14:solidFill>
                </w14:textFill>
              </w:rPr>
              <w:t>后厂界及声环境敏感点的噪声变化，预测点选择在厂界外1m处及</w:t>
            </w:r>
            <w:r>
              <w:rPr>
                <w:rFonts w:hint="eastAsia" w:ascii="Times New Roman" w:hAnsi="Times New Roman" w:eastAsia="宋体" w:cs="Times New Roman"/>
                <w:color w:val="000000" w:themeColor="text1"/>
                <w:sz w:val="24"/>
                <w:highlight w:val="none"/>
                <w14:textFill>
                  <w14:solidFill>
                    <w14:schemeClr w14:val="tx1"/>
                  </w14:solidFill>
                </w14:textFill>
              </w:rPr>
              <w:t>厂区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西</w:t>
            </w:r>
            <w:r>
              <w:rPr>
                <w:rFonts w:hint="eastAsia" w:ascii="Times New Roman" w:hAnsi="Times New Roman" w:eastAsia="宋体" w:cs="Times New Roman"/>
                <w:color w:val="000000" w:themeColor="text1"/>
                <w:sz w:val="24"/>
                <w:highlight w:val="none"/>
                <w14:textFill>
                  <w14:solidFill>
                    <w14:schemeClr w14:val="tx1"/>
                  </w14:solidFill>
                </w14:textFill>
              </w:rPr>
              <w:t>北侧8m处</w:t>
            </w:r>
            <w:r>
              <w:rPr>
                <w:rFonts w:ascii="Times New Roman" w:hAnsi="Times New Roman" w:eastAsia="宋体" w:cs="Times New Roman"/>
                <w:color w:val="000000" w:themeColor="text1"/>
                <w:sz w:val="24"/>
                <w:highlight w:val="none"/>
                <w14:textFill>
                  <w14:solidFill>
                    <w14:schemeClr w14:val="tx1"/>
                  </w14:solidFill>
                </w14:textFill>
              </w:rPr>
              <w:t>居民</w:t>
            </w:r>
            <w:r>
              <w:rPr>
                <w:rFonts w:hint="eastAsia" w:ascii="Times New Roman" w:hAnsi="Times New Roman" w:eastAsia="宋体" w:cs="Times New Roman"/>
                <w:color w:val="000000" w:themeColor="text1"/>
                <w:sz w:val="24"/>
                <w:highlight w:val="none"/>
                <w14:textFill>
                  <w14:solidFill>
                    <w14:schemeClr w14:val="tx1"/>
                  </w14:solidFill>
                </w14:textFill>
              </w:rPr>
              <w:t>点</w:t>
            </w:r>
            <w:r>
              <w:rPr>
                <w:rFonts w:ascii="Times New Roman" w:hAnsi="Times New Roman" w:eastAsia="宋体" w:cs="Times New Roman"/>
                <w:color w:val="000000" w:themeColor="text1"/>
                <w:sz w:val="24"/>
                <w:highlight w:val="none"/>
                <w14:textFill>
                  <w14:solidFill>
                    <w14:schemeClr w14:val="tx1"/>
                  </w14:solidFill>
                </w14:textFill>
              </w:rPr>
              <w:t>。</w:t>
            </w:r>
          </w:p>
          <w:p>
            <w:pPr>
              <w:spacing w:line="360" w:lineRule="auto"/>
              <w:ind w:firstLine="480"/>
              <w:rPr>
                <w:rFonts w:ascii="Times New Roman" w:hAnsi="Times New Roman" w:eastAsia="宋体" w:cs="Times New Roman"/>
                <w:bCs/>
                <w:color w:val="000000" w:themeColor="text1"/>
                <w:sz w:val="24"/>
                <w:highlight w:val="none"/>
                <w14:textFill>
                  <w14:solidFill>
                    <w14:schemeClr w14:val="tx1"/>
                  </w14:solidFill>
                </w14:textFill>
              </w:rPr>
            </w:pPr>
            <w:r>
              <w:rPr>
                <w:rFonts w:ascii="Times New Roman" w:hAnsi="Times New Roman" w:eastAsia="宋体" w:cs="Times New Roman"/>
                <w:bCs/>
                <w:color w:val="000000" w:themeColor="text1"/>
                <w:sz w:val="24"/>
                <w:highlight w:val="none"/>
                <w14:textFill>
                  <w14:solidFill>
                    <w14:schemeClr w14:val="tx1"/>
                  </w14:solidFill>
                </w14:textFill>
              </w:rPr>
              <w:t>根据企业提供的</w:t>
            </w:r>
            <w:r>
              <w:rPr>
                <w:rFonts w:hint="eastAsia" w:ascii="Times New Roman" w:hAnsi="Times New Roman" w:cs="Times New Roman"/>
                <w:color w:val="000000" w:themeColor="text1"/>
                <w:sz w:val="24"/>
                <w:highlight w:val="none"/>
                <w14:textFill>
                  <w14:solidFill>
                    <w14:schemeClr w14:val="tx1"/>
                  </w14:solidFill>
                </w14:textFill>
              </w:rPr>
              <w:t>《承德森禧木业有限公司京津冀生态板材产业园项目检测报告》（辽鹏环测）字PY2308225-001号  辽宁鹏宇环境监测有限公司）</w:t>
            </w:r>
            <w:r>
              <w:rPr>
                <w:rFonts w:ascii="Times New Roman" w:hAnsi="Times New Roman" w:eastAsia="宋体" w:cs="Times New Roman"/>
                <w:bCs/>
                <w:color w:val="000000" w:themeColor="text1"/>
                <w:sz w:val="24"/>
                <w:highlight w:val="none"/>
                <w14:textFill>
                  <w14:solidFill>
                    <w14:schemeClr w14:val="tx1"/>
                  </w14:solidFill>
                </w14:textFill>
              </w:rPr>
              <w:t>四厂界噪声监测结果，进行厂界噪声达标预测。根据</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eastAsia="zh-CN"/>
                <w14:textFill>
                  <w14:solidFill>
                    <w14:schemeClr w14:val="tx1"/>
                  </w14:solidFill>
                </w14:textFill>
              </w:rPr>
              <w:t>承德森禧木业有限公司热能中心大气污染物排放标准变更环境影响报告表</w:t>
            </w:r>
            <w:r>
              <w:rPr>
                <w:rFonts w:hint="eastAsia" w:ascii="Times New Roman" w:hAnsi="Times New Roman" w:cs="Times New Roman"/>
                <w:color w:val="000000" w:themeColor="text1"/>
                <w:sz w:val="24"/>
                <w:highlight w:val="none"/>
                <w:lang w:val="en-US" w:eastAsia="zh-CN"/>
                <w14:textFill>
                  <w14:solidFill>
                    <w14:schemeClr w14:val="tx1"/>
                  </w14:solidFill>
                </w14:textFill>
              </w:rPr>
              <w:t>区域环境质量现状监</w:t>
            </w:r>
            <w:r>
              <w:rPr>
                <w:rFonts w:ascii="Times New Roman" w:hAnsi="Times New Roman" w:cs="Times New Roman"/>
                <w:color w:val="000000" w:themeColor="text1"/>
                <w:sz w:val="24"/>
                <w:highlight w:val="none"/>
                <w14:textFill>
                  <w14:solidFill>
                    <w14:schemeClr w14:val="tx1"/>
                  </w14:solidFill>
                </w14:textFill>
              </w:rPr>
              <w:t>测报告》（</w:t>
            </w:r>
            <w:r>
              <w:rPr>
                <w:rFonts w:hint="eastAsia" w:ascii="Times New Roman" w:hAnsi="Times New Roman" w:cs="Times New Roman"/>
                <w:color w:val="000000" w:themeColor="text1"/>
                <w:sz w:val="24"/>
                <w:highlight w:val="none"/>
                <w14:textFill>
                  <w14:solidFill>
                    <w14:schemeClr w14:val="tx1"/>
                  </w14:solidFill>
                </w14:textFill>
              </w:rPr>
              <w:t>（辽鹏环测）字</w:t>
            </w:r>
            <w:r>
              <w:rPr>
                <w:rFonts w:hint="eastAsia" w:ascii="Times New Roman" w:hAnsi="Times New Roman" w:cs="Times New Roman"/>
                <w:color w:val="000000" w:themeColor="text1"/>
                <w:sz w:val="24"/>
                <w:highlight w:val="none"/>
                <w:lang w:val="en-US" w:eastAsia="zh-CN"/>
                <w14:textFill>
                  <w14:solidFill>
                    <w14:schemeClr w14:val="tx1"/>
                  </w14:solidFill>
                </w14:textFill>
              </w:rPr>
              <w:t>PY2310384-001</w:t>
            </w:r>
            <w:r>
              <w:rPr>
                <w:rFonts w:hint="eastAsia" w:ascii="Times New Roman" w:hAnsi="Times New Roman" w:cs="Times New Roman"/>
                <w:color w:val="000000" w:themeColor="text1"/>
                <w:sz w:val="24"/>
                <w:highlight w:val="none"/>
                <w14:textFill>
                  <w14:solidFill>
                    <w14:schemeClr w14:val="tx1"/>
                  </w14:solidFill>
                </w14:textFill>
              </w:rPr>
              <w:t>号</w:t>
            </w:r>
            <w:r>
              <w:rPr>
                <w:rFonts w:ascii="Times New Roman" w:hAnsi="Times New Roman" w:cs="Times New Roman"/>
                <w:color w:val="000000" w:themeColor="text1"/>
                <w:sz w:val="24"/>
                <w:highlight w:val="none"/>
                <w14:textFill>
                  <w14:solidFill>
                    <w14:schemeClr w14:val="tx1"/>
                  </w14:solidFill>
                </w14:textFill>
              </w:rPr>
              <w:t>）</w:t>
            </w:r>
            <w:r>
              <w:rPr>
                <w:rFonts w:ascii="Times New Roman" w:hAnsi="Times New Roman" w:eastAsia="宋体" w:cs="Times New Roman"/>
                <w:bCs/>
                <w:color w:val="000000" w:themeColor="text1"/>
                <w:sz w:val="24"/>
                <w:highlight w:val="none"/>
                <w14:textFill>
                  <w14:solidFill>
                    <w14:schemeClr w14:val="tx1"/>
                  </w14:solidFill>
                </w14:textFill>
              </w:rPr>
              <w:t>周边敏感点监测结果，进行</w:t>
            </w:r>
            <w:r>
              <w:rPr>
                <w:rFonts w:hint="eastAsia" w:ascii="Times New Roman" w:hAnsi="Times New Roman" w:eastAsia="宋体" w:cs="Times New Roman"/>
                <w:bCs/>
                <w:color w:val="000000" w:themeColor="text1"/>
                <w:sz w:val="24"/>
                <w:highlight w:val="none"/>
                <w14:textFill>
                  <w14:solidFill>
                    <w14:schemeClr w14:val="tx1"/>
                  </w14:solidFill>
                </w14:textFill>
              </w:rPr>
              <w:t>环境保护目标</w:t>
            </w:r>
            <w:r>
              <w:rPr>
                <w:rFonts w:ascii="Times New Roman" w:hAnsi="Times New Roman" w:eastAsia="宋体" w:cs="Times New Roman"/>
                <w:bCs/>
                <w:color w:val="000000" w:themeColor="text1"/>
                <w:sz w:val="24"/>
                <w:highlight w:val="none"/>
                <w14:textFill>
                  <w14:solidFill>
                    <w14:schemeClr w14:val="tx1"/>
                  </w14:solidFill>
                </w14:textFill>
              </w:rPr>
              <w:t>噪声达标预测。</w:t>
            </w:r>
          </w:p>
          <w:p>
            <w:pPr>
              <w:spacing w:line="360" w:lineRule="auto"/>
              <w:ind w:firstLine="482"/>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项目四厂界</w:t>
            </w:r>
            <w:r>
              <w:rPr>
                <w:rFonts w:hint="eastAsia" w:ascii="Times New Roman" w:hAnsi="Times New Roman" w:cs="Times New Roman"/>
                <w:color w:val="000000" w:themeColor="text1"/>
                <w:sz w:val="24"/>
                <w:highlight w:val="none"/>
                <w14:textFill>
                  <w14:solidFill>
                    <w14:schemeClr w14:val="tx1"/>
                  </w14:solidFill>
                </w14:textFill>
              </w:rPr>
              <w:t>及敏感点</w:t>
            </w:r>
            <w:r>
              <w:rPr>
                <w:rFonts w:ascii="Times New Roman" w:hAnsi="Times New Roman" w:cs="Times New Roman"/>
                <w:color w:val="000000" w:themeColor="text1"/>
                <w:sz w:val="24"/>
                <w:highlight w:val="none"/>
                <w14:textFill>
                  <w14:solidFill>
                    <w14:schemeClr w14:val="tx1"/>
                  </w14:solidFill>
                </w14:textFill>
              </w:rPr>
              <w:t>噪声预测结果如下表所示：</w:t>
            </w:r>
          </w:p>
          <w:p>
            <w:pPr>
              <w:spacing w:line="360" w:lineRule="auto"/>
              <w:ind w:firstLine="482"/>
              <w:rPr>
                <w:rFonts w:ascii="Times New Roman" w:hAnsi="Times New Roman" w:cs="Times New Roman"/>
                <w:color w:val="000000" w:themeColor="text1"/>
                <w:sz w:val="24"/>
                <w:highlight w:val="none"/>
                <w14:textFill>
                  <w14:solidFill>
                    <w14:schemeClr w14:val="tx1"/>
                  </w14:solidFill>
                </w14:textFill>
              </w:rPr>
            </w:pPr>
          </w:p>
          <w:p>
            <w:pPr>
              <w:pStyle w:val="15"/>
              <w:widowControl w:val="0"/>
              <w:numPr>
                <w:ilvl w:val="0"/>
                <w:numId w:val="9"/>
              </w:numPr>
              <w:snapToGrid w:val="0"/>
              <w:spacing w:line="360" w:lineRule="auto"/>
              <w:ind w:leftChars="0" w:firstLine="0"/>
              <w:jc w:val="center"/>
              <w:rPr>
                <w:rFonts w:hint="default" w:ascii="Times New Roman" w:hAnsi="Times New Roman"/>
                <w:b/>
                <w:bCs/>
                <w:color w:val="000000" w:themeColor="text1"/>
                <w:sz w:val="21"/>
                <w:szCs w:val="21"/>
                <w:highlight w:val="none"/>
                <w14:textFill>
                  <w14:solidFill>
                    <w14:schemeClr w14:val="tx1"/>
                  </w14:solidFill>
                </w14:textFill>
              </w:rPr>
            </w:pPr>
            <w:r>
              <w:rPr>
                <w:rFonts w:hint="default" w:ascii="Times New Roman" w:hAnsi="Times New Roman"/>
                <w:b/>
                <w:bCs/>
                <w:color w:val="000000" w:themeColor="text1"/>
                <w:sz w:val="21"/>
                <w:szCs w:val="21"/>
                <w:highlight w:val="none"/>
                <w14:textFill>
                  <w14:solidFill>
                    <w14:schemeClr w14:val="tx1"/>
                  </w14:solidFill>
                </w14:textFill>
              </w:rPr>
              <w:t>项目噪声预测结果一览表  单位：dB(A)</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602"/>
              <w:gridCol w:w="1141"/>
              <w:gridCol w:w="1360"/>
              <w:gridCol w:w="1042"/>
              <w:gridCol w:w="2121"/>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5" w:type="pct"/>
                  <w:gridSpan w:val="2"/>
                  <w:shd w:val="clear" w:color="auto" w:fill="auto"/>
                  <w:vAlign w:val="center"/>
                </w:tcPr>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点位</w:t>
                  </w:r>
                </w:p>
              </w:tc>
              <w:tc>
                <w:tcPr>
                  <w:tcW w:w="675" w:type="pct"/>
                  <w:vAlign w:val="center"/>
                </w:tcPr>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贡献值</w:t>
                  </w:r>
                </w:p>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dB（A）</w:t>
                  </w:r>
                </w:p>
              </w:tc>
              <w:tc>
                <w:tcPr>
                  <w:tcW w:w="804" w:type="pct"/>
                  <w:vAlign w:val="center"/>
                </w:tcPr>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背景值</w:t>
                  </w:r>
                </w:p>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dB（A）</w:t>
                  </w:r>
                </w:p>
              </w:tc>
              <w:tc>
                <w:tcPr>
                  <w:tcW w:w="616" w:type="pct"/>
                  <w:vAlign w:val="center"/>
                </w:tcPr>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叠加</w:t>
                  </w:r>
                  <w:r>
                    <w:rPr>
                      <w:rFonts w:ascii="Times New Roman" w:hAnsi="Times New Roman" w:eastAsia="宋体" w:cs="Times New Roman"/>
                      <w:b/>
                      <w:color w:val="000000" w:themeColor="text1"/>
                      <w:szCs w:val="21"/>
                      <w:highlight w:val="none"/>
                      <w14:textFill>
                        <w14:solidFill>
                          <w14:schemeClr w14:val="tx1"/>
                        </w14:solidFill>
                      </w14:textFill>
                    </w:rPr>
                    <w:t>值</w:t>
                  </w:r>
                </w:p>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dB（A）</w:t>
                  </w:r>
                </w:p>
              </w:tc>
              <w:tc>
                <w:tcPr>
                  <w:tcW w:w="1254" w:type="pct"/>
                  <w:vAlign w:val="center"/>
                </w:tcPr>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标准值</w:t>
                  </w:r>
                </w:p>
              </w:tc>
              <w:tc>
                <w:tcPr>
                  <w:tcW w:w="633" w:type="pct"/>
                  <w:shd w:val="clear" w:color="auto" w:fill="auto"/>
                  <w:vAlign w:val="center"/>
                </w:tcPr>
                <w:p>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东</w:t>
                  </w:r>
                  <w:r>
                    <w:rPr>
                      <w:rFonts w:ascii="Times New Roman" w:hAnsi="Times New Roman" w:eastAsia="宋体" w:cs="Times New Roman"/>
                      <w:color w:val="000000" w:themeColor="text1"/>
                      <w:szCs w:val="21"/>
                      <w:highlight w:val="none"/>
                      <w14:textFill>
                        <w14:solidFill>
                          <w14:schemeClr w14:val="tx1"/>
                        </w14:solidFill>
                      </w14:textFill>
                    </w:rPr>
                    <w:t>侧厂界</w:t>
                  </w: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昼</w:t>
                  </w:r>
                </w:p>
              </w:tc>
              <w:tc>
                <w:tcPr>
                  <w:tcW w:w="675"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5.82</w:t>
                  </w:r>
                </w:p>
              </w:tc>
              <w:tc>
                <w:tcPr>
                  <w:tcW w:w="804"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49.80</w:t>
                  </w:r>
                </w:p>
              </w:tc>
              <w:tc>
                <w:tcPr>
                  <w:tcW w:w="616" w:type="pct"/>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49.80</w:t>
                  </w:r>
                </w:p>
              </w:tc>
              <w:tc>
                <w:tcPr>
                  <w:tcW w:w="1254" w:type="pct"/>
                  <w:vMerge w:val="restart"/>
                  <w:vAlign w:val="center"/>
                </w:tcPr>
                <w:p>
                  <w:pPr>
                    <w:pStyle w:val="49"/>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昼间≤</w:t>
                  </w:r>
                  <w:r>
                    <w:rPr>
                      <w:rFonts w:hint="eastAsia"/>
                      <w:color w:val="000000" w:themeColor="text1"/>
                      <w:kern w:val="0"/>
                      <w:highlight w:val="none"/>
                      <w14:textFill>
                        <w14:solidFill>
                          <w14:schemeClr w14:val="tx1"/>
                        </w14:solidFill>
                      </w14:textFill>
                    </w:rPr>
                    <w:t>6</w:t>
                  </w:r>
                  <w:r>
                    <w:rPr>
                      <w:rFonts w:hint="eastAsia"/>
                      <w:color w:val="000000" w:themeColor="text1"/>
                      <w:kern w:val="0"/>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dB(A)</w:t>
                  </w:r>
                </w:p>
                <w:p>
                  <w:pPr>
                    <w:topLinePunct/>
                    <w:adjustRightIn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t>夜间≤</w:t>
                  </w:r>
                  <w:r>
                    <w:rPr>
                      <w:rFonts w:hint="eastAsia" w:ascii="Times New Roman" w:hAnsi="Times New Roman" w:eastAsia="宋体" w:cs="Times New Roman"/>
                      <w:color w:val="000000" w:themeColor="text1"/>
                      <w:kern w:val="0"/>
                      <w:highlight w:val="none"/>
                      <w14:textFill>
                        <w14:solidFill>
                          <w14:schemeClr w14:val="tx1"/>
                        </w14:solidFill>
                      </w14:textFill>
                    </w:rPr>
                    <w:t>5</w:t>
                  </w:r>
                  <w:r>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dB(A)</w:t>
                  </w: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夜</w:t>
                  </w:r>
                </w:p>
              </w:tc>
              <w:tc>
                <w:tcPr>
                  <w:tcW w:w="675"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5.82</w:t>
                  </w:r>
                </w:p>
              </w:tc>
              <w:tc>
                <w:tcPr>
                  <w:tcW w:w="804"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39.90</w:t>
                  </w:r>
                </w:p>
              </w:tc>
              <w:tc>
                <w:tcPr>
                  <w:tcW w:w="616" w:type="pct"/>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39.90</w:t>
                  </w:r>
                </w:p>
              </w:tc>
              <w:tc>
                <w:tcPr>
                  <w:tcW w:w="1254" w:type="pct"/>
                  <w:vMerge w:val="continue"/>
                  <w:vAlign w:val="center"/>
                </w:tcPr>
                <w:p>
                  <w:pPr>
                    <w:topLinePunct/>
                    <w:adjustRightInd w:val="0"/>
                    <w:snapToGri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南</w:t>
                  </w:r>
                  <w:r>
                    <w:rPr>
                      <w:rFonts w:ascii="Times New Roman" w:hAnsi="Times New Roman" w:eastAsia="宋体" w:cs="Times New Roman"/>
                      <w:color w:val="000000" w:themeColor="text1"/>
                      <w:szCs w:val="21"/>
                      <w:highlight w:val="none"/>
                      <w14:textFill>
                        <w14:solidFill>
                          <w14:schemeClr w14:val="tx1"/>
                        </w14:solidFill>
                      </w14:textFill>
                    </w:rPr>
                    <w:t>侧厂界</w:t>
                  </w: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昼</w:t>
                  </w:r>
                </w:p>
              </w:tc>
              <w:tc>
                <w:tcPr>
                  <w:tcW w:w="675"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4.68</w:t>
                  </w:r>
                </w:p>
              </w:tc>
              <w:tc>
                <w:tcPr>
                  <w:tcW w:w="804"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51.30</w:t>
                  </w:r>
                </w:p>
              </w:tc>
              <w:tc>
                <w:tcPr>
                  <w:tcW w:w="616"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51.30</w:t>
                  </w:r>
                </w:p>
              </w:tc>
              <w:tc>
                <w:tcPr>
                  <w:tcW w:w="1254" w:type="pct"/>
                  <w:vMerge w:val="continue"/>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夜</w:t>
                  </w:r>
                </w:p>
              </w:tc>
              <w:tc>
                <w:tcPr>
                  <w:tcW w:w="675"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4.68</w:t>
                  </w:r>
                </w:p>
              </w:tc>
              <w:tc>
                <w:tcPr>
                  <w:tcW w:w="804"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39.30</w:t>
                  </w:r>
                </w:p>
              </w:tc>
              <w:tc>
                <w:tcPr>
                  <w:tcW w:w="616"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39.30</w:t>
                  </w:r>
                </w:p>
              </w:tc>
              <w:tc>
                <w:tcPr>
                  <w:tcW w:w="1254" w:type="pct"/>
                  <w:vMerge w:val="continue"/>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西</w:t>
                  </w:r>
                  <w:r>
                    <w:rPr>
                      <w:rFonts w:ascii="Times New Roman" w:hAnsi="Times New Roman" w:eastAsia="宋体" w:cs="Times New Roman"/>
                      <w:color w:val="000000" w:themeColor="text1"/>
                      <w:szCs w:val="21"/>
                      <w:highlight w:val="none"/>
                      <w14:textFill>
                        <w14:solidFill>
                          <w14:schemeClr w14:val="tx1"/>
                        </w14:solidFill>
                      </w14:textFill>
                    </w:rPr>
                    <w:t>侧厂界</w:t>
                  </w: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昼</w:t>
                  </w:r>
                </w:p>
              </w:tc>
              <w:tc>
                <w:tcPr>
                  <w:tcW w:w="675"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11.71</w:t>
                  </w:r>
                </w:p>
              </w:tc>
              <w:tc>
                <w:tcPr>
                  <w:tcW w:w="804"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50.30</w:t>
                  </w:r>
                </w:p>
              </w:tc>
              <w:tc>
                <w:tcPr>
                  <w:tcW w:w="616"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50.30</w:t>
                  </w:r>
                </w:p>
              </w:tc>
              <w:tc>
                <w:tcPr>
                  <w:tcW w:w="1254" w:type="pct"/>
                  <w:vMerge w:val="restart"/>
                  <w:vAlign w:val="center"/>
                </w:tcPr>
                <w:p>
                  <w:pPr>
                    <w:pStyle w:val="49"/>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昼间≤</w:t>
                  </w:r>
                  <w:r>
                    <w:rPr>
                      <w:rFonts w:hint="eastAsia"/>
                      <w:color w:val="000000" w:themeColor="text1"/>
                      <w:kern w:val="0"/>
                      <w:highlight w:val="none"/>
                      <w14:textFill>
                        <w14:solidFill>
                          <w14:schemeClr w14:val="tx1"/>
                        </w14:solidFill>
                      </w14:textFill>
                    </w:rPr>
                    <w:t>60</w:t>
                  </w:r>
                  <w:r>
                    <w:rPr>
                      <w:color w:val="000000" w:themeColor="text1"/>
                      <w:highlight w:val="none"/>
                      <w14:textFill>
                        <w14:solidFill>
                          <w14:schemeClr w14:val="tx1"/>
                        </w14:solidFill>
                      </w14:textFill>
                    </w:rPr>
                    <w:t>dB(A)</w:t>
                  </w:r>
                </w:p>
                <w:p>
                  <w:pPr>
                    <w:topLinePunct/>
                    <w:adjustRightIn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t>夜间≤</w:t>
                  </w:r>
                  <w:r>
                    <w:rPr>
                      <w:rFonts w:hint="eastAsia" w:ascii="Times New Roman" w:hAnsi="Times New Roman" w:eastAsia="宋体" w:cs="Times New Roman"/>
                      <w:color w:val="000000" w:themeColor="text1"/>
                      <w:kern w:val="0"/>
                      <w:highlight w:val="none"/>
                      <w14:textFill>
                        <w14:solidFill>
                          <w14:schemeClr w14:val="tx1"/>
                        </w14:solidFill>
                      </w14:textFill>
                    </w:rPr>
                    <w:t>50</w:t>
                  </w:r>
                  <w:r>
                    <w:rPr>
                      <w:rFonts w:ascii="Times New Roman" w:hAnsi="Times New Roman" w:eastAsia="宋体" w:cs="Times New Roman"/>
                      <w:color w:val="000000" w:themeColor="text1"/>
                      <w:szCs w:val="21"/>
                      <w:highlight w:val="none"/>
                      <w14:textFill>
                        <w14:solidFill>
                          <w14:schemeClr w14:val="tx1"/>
                        </w14:solidFill>
                      </w14:textFill>
                    </w:rPr>
                    <w:t>dB(A)</w:t>
                  </w: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夜</w:t>
                  </w:r>
                </w:p>
              </w:tc>
              <w:tc>
                <w:tcPr>
                  <w:tcW w:w="675"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11.71</w:t>
                  </w:r>
                </w:p>
              </w:tc>
              <w:tc>
                <w:tcPr>
                  <w:tcW w:w="804"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38.30</w:t>
                  </w:r>
                </w:p>
              </w:tc>
              <w:tc>
                <w:tcPr>
                  <w:tcW w:w="616"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38.31</w:t>
                  </w:r>
                </w:p>
              </w:tc>
              <w:tc>
                <w:tcPr>
                  <w:tcW w:w="1254" w:type="pct"/>
                  <w:vMerge w:val="continue"/>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北</w:t>
                  </w:r>
                  <w:r>
                    <w:rPr>
                      <w:rFonts w:ascii="Times New Roman" w:hAnsi="Times New Roman" w:eastAsia="宋体" w:cs="Times New Roman"/>
                      <w:color w:val="000000" w:themeColor="text1"/>
                      <w:szCs w:val="21"/>
                      <w:highlight w:val="none"/>
                      <w14:textFill>
                        <w14:solidFill>
                          <w14:schemeClr w14:val="tx1"/>
                        </w14:solidFill>
                      </w14:textFill>
                    </w:rPr>
                    <w:t>侧厂界</w:t>
                  </w: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昼</w:t>
                  </w:r>
                </w:p>
              </w:tc>
              <w:tc>
                <w:tcPr>
                  <w:tcW w:w="1133" w:type="dxa"/>
                  <w:vAlign w:val="center"/>
                </w:tcPr>
                <w:p>
                  <w:pPr>
                    <w:topLinePunct/>
                    <w:adjustRightInd w:val="0"/>
                    <w:snapToGri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11.77</w:t>
                  </w:r>
                </w:p>
              </w:tc>
              <w:tc>
                <w:tcPr>
                  <w:tcW w:w="1350" w:type="dxa"/>
                  <w:vAlign w:val="center"/>
                </w:tcPr>
                <w:p>
                  <w:pPr>
                    <w:topLinePunct/>
                    <w:adjustRightInd w:val="0"/>
                    <w:snapToGri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50.80</w:t>
                  </w:r>
                </w:p>
              </w:tc>
              <w:tc>
                <w:tcPr>
                  <w:tcW w:w="1034" w:type="dxa"/>
                  <w:vAlign w:val="center"/>
                </w:tcPr>
                <w:p>
                  <w:pPr>
                    <w:widowControl/>
                    <w:adjustRightInd w:val="0"/>
                    <w:snapToGri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50.80</w:t>
                  </w:r>
                </w:p>
              </w:tc>
              <w:tc>
                <w:tcPr>
                  <w:tcW w:w="1254" w:type="pct"/>
                  <w:vMerge w:val="restart"/>
                  <w:vAlign w:val="center"/>
                </w:tcPr>
                <w:p>
                  <w:pPr>
                    <w:pStyle w:val="49"/>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昼间≤</w:t>
                  </w:r>
                  <w:r>
                    <w:rPr>
                      <w:rFonts w:hint="eastAsia"/>
                      <w:color w:val="000000" w:themeColor="text1"/>
                      <w:kern w:val="0"/>
                      <w:highlight w:val="none"/>
                      <w:lang w:val="en-US" w:eastAsia="zh-CN"/>
                      <w14:textFill>
                        <w14:solidFill>
                          <w14:schemeClr w14:val="tx1"/>
                        </w14:solidFill>
                      </w14:textFill>
                    </w:rPr>
                    <w:t>7</w:t>
                  </w:r>
                  <w:r>
                    <w:rPr>
                      <w:rFonts w:hint="eastAsia"/>
                      <w:color w:val="000000" w:themeColor="text1"/>
                      <w:kern w:val="0"/>
                      <w:highlight w:val="none"/>
                      <w14:textFill>
                        <w14:solidFill>
                          <w14:schemeClr w14:val="tx1"/>
                        </w14:solidFill>
                      </w14:textFill>
                    </w:rPr>
                    <w:t>0</w:t>
                  </w:r>
                  <w:r>
                    <w:rPr>
                      <w:color w:val="000000" w:themeColor="text1"/>
                      <w:highlight w:val="none"/>
                      <w14:textFill>
                        <w14:solidFill>
                          <w14:schemeClr w14:val="tx1"/>
                        </w14:solidFill>
                      </w14:textFill>
                    </w:rPr>
                    <w:t>dB(A)</w:t>
                  </w:r>
                </w:p>
                <w:p>
                  <w:pPr>
                    <w:topLinePunct/>
                    <w:adjustRightIn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t>夜间≤</w:t>
                  </w:r>
                  <w:r>
                    <w:rPr>
                      <w:rFonts w:hint="eastAsia" w:ascii="Times New Roman" w:hAnsi="Times New Roman" w:eastAsia="宋体" w:cs="Times New Roman"/>
                      <w:color w:val="000000" w:themeColor="text1"/>
                      <w:kern w:val="0"/>
                      <w:highlight w:val="none"/>
                      <w14:textFill>
                        <w14:solidFill>
                          <w14:schemeClr w14:val="tx1"/>
                        </w14:solidFill>
                      </w14:textFill>
                    </w:rPr>
                    <w:t>5</w:t>
                  </w:r>
                  <w:r>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dB(A)</w:t>
                  </w: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夜</w:t>
                  </w:r>
                </w:p>
              </w:tc>
              <w:tc>
                <w:tcPr>
                  <w:tcW w:w="675"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11.77</w:t>
                  </w:r>
                </w:p>
              </w:tc>
              <w:tc>
                <w:tcPr>
                  <w:tcW w:w="804"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38.00</w:t>
                  </w:r>
                </w:p>
              </w:tc>
              <w:tc>
                <w:tcPr>
                  <w:tcW w:w="616"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38.01</w:t>
                  </w:r>
                </w:p>
              </w:tc>
              <w:tc>
                <w:tcPr>
                  <w:tcW w:w="1254" w:type="pct"/>
                  <w:vMerge w:val="continue"/>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shd w:val="clear" w:color="auto" w:fill="auto"/>
                  <w:vAlign w:val="center"/>
                </w:tcPr>
                <w:p>
                  <w:pPr>
                    <w:widowControl/>
                    <w:adjustRightInd w:val="0"/>
                    <w:snapToGrid w:val="0"/>
                    <w:jc w:val="center"/>
                    <w:textAlignment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二十三号村</w:t>
                  </w:r>
                  <w:r>
                    <w:rPr>
                      <w:rFonts w:ascii="Times New Roman" w:hAnsi="Times New Roman" w:eastAsia="宋体" w:cs="Times New Roman"/>
                      <w:color w:val="000000" w:themeColor="text1"/>
                      <w:kern w:val="0"/>
                      <w:szCs w:val="21"/>
                      <w:highlight w:val="none"/>
                      <w:lang w:bidi="ar"/>
                      <w14:textFill>
                        <w14:solidFill>
                          <w14:schemeClr w14:val="tx1"/>
                        </w14:solidFill>
                      </w14:textFill>
                    </w:rPr>
                    <w:t>居民</w:t>
                  </w: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昼</w:t>
                  </w:r>
                </w:p>
              </w:tc>
              <w:tc>
                <w:tcPr>
                  <w:tcW w:w="675" w:type="pct"/>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15.62</w:t>
                  </w:r>
                </w:p>
              </w:tc>
              <w:tc>
                <w:tcPr>
                  <w:tcW w:w="804"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50.50</w:t>
                  </w:r>
                </w:p>
              </w:tc>
              <w:tc>
                <w:tcPr>
                  <w:tcW w:w="616" w:type="pct"/>
                  <w:vAlign w:val="center"/>
                </w:tcPr>
                <w:p>
                  <w:pPr>
                    <w:topLinePunct/>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50.50</w:t>
                  </w:r>
                </w:p>
              </w:tc>
              <w:tc>
                <w:tcPr>
                  <w:tcW w:w="1254" w:type="pct"/>
                  <w:vMerge w:val="restart"/>
                  <w:vAlign w:val="center"/>
                </w:tcPr>
                <w:p>
                  <w:pPr>
                    <w:pStyle w:val="49"/>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昼间≤</w:t>
                  </w:r>
                  <w:r>
                    <w:rPr>
                      <w:rFonts w:hint="eastAsia"/>
                      <w:color w:val="000000" w:themeColor="text1"/>
                      <w:kern w:val="0"/>
                      <w:highlight w:val="none"/>
                      <w14:textFill>
                        <w14:solidFill>
                          <w14:schemeClr w14:val="tx1"/>
                        </w14:solidFill>
                      </w14:textFill>
                    </w:rPr>
                    <w:t>60</w:t>
                  </w:r>
                  <w:r>
                    <w:rPr>
                      <w:color w:val="000000" w:themeColor="text1"/>
                      <w:highlight w:val="none"/>
                      <w14:textFill>
                        <w14:solidFill>
                          <w14:schemeClr w14:val="tx1"/>
                        </w14:solidFill>
                      </w14:textFill>
                    </w:rPr>
                    <w:t>dB(A)</w:t>
                  </w:r>
                </w:p>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t>夜间≤</w:t>
                  </w:r>
                  <w:r>
                    <w:rPr>
                      <w:rFonts w:hint="eastAsia" w:ascii="Times New Roman" w:hAnsi="Times New Roman" w:eastAsia="宋体" w:cs="Times New Roman"/>
                      <w:color w:val="000000" w:themeColor="text1"/>
                      <w:kern w:val="0"/>
                      <w:highlight w:val="none"/>
                      <w14:textFill>
                        <w14:solidFill>
                          <w14:schemeClr w14:val="tx1"/>
                        </w14:solidFill>
                      </w14:textFill>
                    </w:rPr>
                    <w:t>50</w:t>
                  </w:r>
                  <w:r>
                    <w:rPr>
                      <w:rFonts w:ascii="Times New Roman" w:hAnsi="Times New Roman" w:eastAsia="宋体" w:cs="Times New Roman"/>
                      <w:color w:val="000000" w:themeColor="text1"/>
                      <w:szCs w:val="21"/>
                      <w:highlight w:val="none"/>
                      <w14:textFill>
                        <w14:solidFill>
                          <w14:schemeClr w14:val="tx1"/>
                        </w14:solidFill>
                      </w14:textFill>
                    </w:rPr>
                    <w:t>dB(A)</w:t>
                  </w: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shd w:val="clear" w:color="auto" w:fill="auto"/>
                  <w:vAlign w:val="center"/>
                </w:tcPr>
                <w:p>
                  <w:pPr>
                    <w:widowControl/>
                    <w:adjustRightInd w:val="0"/>
                    <w:snapToGrid w:val="0"/>
                    <w:jc w:val="center"/>
                    <w:textAlignment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p>
              </w:tc>
              <w:tc>
                <w:tcPr>
                  <w:tcW w:w="355" w:type="pct"/>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夜</w:t>
                  </w:r>
                </w:p>
              </w:tc>
              <w:tc>
                <w:tcPr>
                  <w:tcW w:w="675" w:type="pct"/>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15.62</w:t>
                  </w:r>
                </w:p>
              </w:tc>
              <w:tc>
                <w:tcPr>
                  <w:tcW w:w="804" w:type="pct"/>
                  <w:vAlign w:val="center"/>
                </w:tcPr>
                <w:p>
                  <w:pPr>
                    <w:widowControl/>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40.30</w:t>
                  </w:r>
                </w:p>
              </w:tc>
              <w:tc>
                <w:tcPr>
                  <w:tcW w:w="616" w:type="pct"/>
                  <w:vAlign w:val="center"/>
                </w:tcPr>
                <w:p>
                  <w:pPr>
                    <w:widowControl/>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40.31</w:t>
                  </w:r>
                </w:p>
              </w:tc>
              <w:tc>
                <w:tcPr>
                  <w:tcW w:w="1254" w:type="pct"/>
                  <w:vMerge w:val="continue"/>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33" w:type="pct"/>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达标</w:t>
                  </w:r>
                </w:p>
              </w:tc>
            </w:tr>
          </w:tbl>
          <w:p>
            <w:pPr>
              <w:spacing w:line="360" w:lineRule="auto"/>
              <w:ind w:firstLine="48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kern w:val="0"/>
                <w:sz w:val="24"/>
                <w:highlight w:val="none"/>
                <w:lang w:val="zh-CN"/>
                <w14:textFill>
                  <w14:solidFill>
                    <w14:schemeClr w14:val="tx1"/>
                  </w14:solidFill>
                </w14:textFill>
              </w:rPr>
              <w:t>项目</w:t>
            </w:r>
            <w:r>
              <w:rPr>
                <w:rFonts w:hint="eastAsia" w:ascii="Times New Roman" w:hAnsi="Times New Roman" w:cs="Times New Roman"/>
                <w:color w:val="000000" w:themeColor="text1"/>
                <w:kern w:val="0"/>
                <w:sz w:val="24"/>
                <w:highlight w:val="none"/>
                <w:lang w:val="zh-CN"/>
                <w14:textFill>
                  <w14:solidFill>
                    <w14:schemeClr w14:val="tx1"/>
                  </w14:solidFill>
                </w14:textFill>
              </w:rPr>
              <w:t>运营期</w:t>
            </w:r>
            <w:r>
              <w:rPr>
                <w:rFonts w:ascii="Times New Roman" w:hAnsi="Times New Roman" w:cs="Times New Roman"/>
                <w:color w:val="000000" w:themeColor="text1"/>
                <w:kern w:val="0"/>
                <w:sz w:val="24"/>
                <w:highlight w:val="none"/>
                <w:lang w:val="zh-CN"/>
                <w14:textFill>
                  <w14:solidFill>
                    <w14:schemeClr w14:val="tx1"/>
                  </w14:solidFill>
                </w14:textFill>
              </w:rPr>
              <w:t>声级等值线（贡献值）</w:t>
            </w:r>
            <w:r>
              <w:rPr>
                <w:rFonts w:ascii="Times New Roman" w:hAnsi="Times New Roman" w:cs="Times New Roman"/>
                <w:color w:val="000000" w:themeColor="text1"/>
                <w:sz w:val="24"/>
                <w:highlight w:val="none"/>
                <w14:textFill>
                  <w14:solidFill>
                    <w14:schemeClr w14:val="tx1"/>
                  </w14:solidFill>
                </w14:textFill>
              </w:rPr>
              <w:t>见</w:t>
            </w:r>
            <w:r>
              <w:rPr>
                <w:rFonts w:hint="eastAsia" w:ascii="Times New Roman" w:hAnsi="Times New Roman" w:cs="Times New Roman"/>
                <w:color w:val="000000" w:themeColor="text1"/>
                <w:sz w:val="24"/>
                <w:highlight w:val="none"/>
                <w14:textFill>
                  <w14:solidFill>
                    <w14:schemeClr w14:val="tx1"/>
                  </w14:solidFill>
                </w14:textFill>
              </w:rPr>
              <w:t>下图。</w:t>
            </w:r>
          </w:p>
          <w:p>
            <w:pPr>
              <w:adjustRightInd w:val="0"/>
              <w:snapToGrid w:val="0"/>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373370" cy="4105910"/>
                  <wp:effectExtent l="0" t="0" r="17780" b="889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3"/>
                          <a:stretch>
                            <a:fillRect/>
                          </a:stretch>
                        </pic:blipFill>
                        <pic:spPr>
                          <a:xfrm>
                            <a:off x="0" y="0"/>
                            <a:ext cx="5373370" cy="4105910"/>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图</w:t>
            </w:r>
            <w:r>
              <w:rPr>
                <w:rFonts w:hint="eastAsia" w:ascii="Times New Roman" w:hAnsi="Times New Roman" w:eastAsia="宋体" w:cs="Times New Roman"/>
                <w:b/>
                <w:color w:val="000000" w:themeColor="text1"/>
                <w:szCs w:val="21"/>
                <w:highlight w:val="none"/>
                <w14:textFill>
                  <w14:solidFill>
                    <w14:schemeClr w14:val="tx1"/>
                  </w14:solidFill>
                </w14:textFill>
              </w:rPr>
              <w:t>4</w:t>
            </w:r>
            <w:r>
              <w:rPr>
                <w:rFonts w:ascii="Times New Roman" w:hAnsi="Times New Roman" w:eastAsia="宋体" w:cs="Times New Roman"/>
                <w:b/>
                <w:color w:val="000000" w:themeColor="text1"/>
                <w:szCs w:val="21"/>
                <w:highlight w:val="none"/>
                <w14:textFill>
                  <w14:solidFill>
                    <w14:schemeClr w14:val="tx1"/>
                  </w14:solidFill>
                </w14:textFill>
              </w:rPr>
              <w:t>-1  噪声预测等值线分布图</w:t>
            </w:r>
          </w:p>
          <w:p>
            <w:pPr>
              <w:adjustRightInd w:val="0"/>
              <w:snapToGrid w:val="0"/>
              <w:spacing w:line="360" w:lineRule="auto"/>
              <w:ind w:firstLine="482"/>
              <w:rPr>
                <w:rFonts w:hint="eastAsia" w:ascii="Times New Roman" w:hAnsi="Times New Roman" w:cs="Times New Roman" w:eastAsiaTheme="minorEastAsia"/>
                <w:color w:val="000000" w:themeColor="text1"/>
                <w:sz w:val="24"/>
                <w:szCs w:val="32"/>
                <w:highlight w:val="none"/>
                <w:lang w:eastAsia="zh-CN"/>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根据上表</w:t>
            </w:r>
            <w:r>
              <w:rPr>
                <w:rFonts w:hint="eastAsia" w:ascii="Times New Roman" w:hAnsi="Times New Roman" w:cs="Times New Roman"/>
                <w:color w:val="000000" w:themeColor="text1"/>
                <w:sz w:val="24"/>
                <w:highlight w:val="none"/>
                <w14:textFill>
                  <w14:solidFill>
                    <w14:schemeClr w14:val="tx1"/>
                  </w14:solidFill>
                </w14:textFill>
              </w:rPr>
              <w:t>预测</w:t>
            </w:r>
            <w:r>
              <w:rPr>
                <w:rFonts w:ascii="Times New Roman" w:hAnsi="Times New Roman" w:cs="Times New Roman"/>
                <w:color w:val="000000" w:themeColor="text1"/>
                <w:sz w:val="24"/>
                <w:highlight w:val="none"/>
                <w14:textFill>
                  <w14:solidFill>
                    <w14:schemeClr w14:val="tx1"/>
                  </w14:solidFill>
                </w14:textFill>
              </w:rPr>
              <w:t>结果可知，项目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东、南</w:t>
            </w:r>
            <w:r>
              <w:rPr>
                <w:rFonts w:hint="eastAsia" w:ascii="Times New Roman" w:hAnsi="Times New Roman" w:cs="Times New Roman"/>
                <w:color w:val="000000" w:themeColor="text1"/>
                <w:sz w:val="24"/>
                <w:highlight w:val="none"/>
                <w14:textFill>
                  <w14:solidFill>
                    <w14:schemeClr w14:val="tx1"/>
                  </w14:solidFill>
                </w14:textFill>
              </w:rPr>
              <w:t>厂界</w:t>
            </w:r>
            <w:r>
              <w:rPr>
                <w:rFonts w:ascii="Times New Roman" w:hAnsi="Times New Roman" w:cs="Times New Roman"/>
                <w:color w:val="000000" w:themeColor="text1"/>
                <w:sz w:val="24"/>
                <w:highlight w:val="none"/>
                <w14:textFill>
                  <w14:solidFill>
                    <w14:schemeClr w14:val="tx1"/>
                  </w14:solidFill>
                </w14:textFill>
              </w:rPr>
              <w:t>噪声</w:t>
            </w:r>
            <w:r>
              <w:rPr>
                <w:rFonts w:hint="eastAsia" w:ascii="Times New Roman" w:hAnsi="Times New Roman" w:cs="Times New Roman"/>
                <w:color w:val="000000" w:themeColor="text1"/>
                <w:sz w:val="24"/>
                <w:highlight w:val="none"/>
                <w14:textFill>
                  <w14:solidFill>
                    <w14:schemeClr w14:val="tx1"/>
                  </w14:solidFill>
                </w14:textFill>
              </w:rPr>
              <w:t>预测值满足</w:t>
            </w:r>
            <w:r>
              <w:rPr>
                <w:rFonts w:ascii="Times New Roman" w:hAnsi="Times New Roman" w:cs="Times New Roman"/>
                <w:color w:val="000000" w:themeColor="text1"/>
                <w:sz w:val="24"/>
                <w:highlight w:val="none"/>
                <w14:textFill>
                  <w14:solidFill>
                    <w14:schemeClr w14:val="tx1"/>
                  </w14:solidFill>
                </w14:textFill>
              </w:rPr>
              <w:t>《工业企业厂界环境噪声排放标准》(GB12348-2008)中的</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类标准</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西厂界</w:t>
            </w:r>
            <w:r>
              <w:rPr>
                <w:rFonts w:ascii="Times New Roman" w:hAnsi="Times New Roman" w:cs="Times New Roman"/>
                <w:color w:val="000000" w:themeColor="text1"/>
                <w:sz w:val="24"/>
                <w:highlight w:val="none"/>
                <w14:textFill>
                  <w14:solidFill>
                    <w14:schemeClr w14:val="tx1"/>
                  </w14:solidFill>
                </w14:textFill>
              </w:rPr>
              <w:t>噪声</w:t>
            </w:r>
            <w:r>
              <w:rPr>
                <w:rFonts w:hint="eastAsia" w:ascii="Times New Roman" w:hAnsi="Times New Roman" w:cs="Times New Roman"/>
                <w:color w:val="000000" w:themeColor="text1"/>
                <w:sz w:val="24"/>
                <w:highlight w:val="none"/>
                <w14:textFill>
                  <w14:solidFill>
                    <w14:schemeClr w14:val="tx1"/>
                  </w14:solidFill>
                </w14:textFill>
              </w:rPr>
              <w:t>预测值满足</w:t>
            </w:r>
            <w:r>
              <w:rPr>
                <w:rFonts w:ascii="Times New Roman" w:hAnsi="Times New Roman" w:cs="Times New Roman"/>
                <w:color w:val="000000" w:themeColor="text1"/>
                <w:sz w:val="24"/>
                <w:highlight w:val="none"/>
                <w14:textFill>
                  <w14:solidFill>
                    <w14:schemeClr w14:val="tx1"/>
                  </w14:solidFill>
                </w14:textFill>
              </w:rPr>
              <w:t>《工业企业厂界环境噪声排放标准》(GB12348-2008)中的</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类标准</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北厂界</w:t>
            </w:r>
            <w:r>
              <w:rPr>
                <w:rFonts w:ascii="Times New Roman" w:hAnsi="Times New Roman" w:cs="Times New Roman"/>
                <w:color w:val="000000" w:themeColor="text1"/>
                <w:sz w:val="24"/>
                <w:highlight w:val="none"/>
                <w14:textFill>
                  <w14:solidFill>
                    <w14:schemeClr w14:val="tx1"/>
                  </w14:solidFill>
                </w14:textFill>
              </w:rPr>
              <w:t>噪声</w:t>
            </w:r>
            <w:r>
              <w:rPr>
                <w:rFonts w:hint="eastAsia" w:ascii="Times New Roman" w:hAnsi="Times New Roman" w:cs="Times New Roman"/>
                <w:color w:val="000000" w:themeColor="text1"/>
                <w:sz w:val="24"/>
                <w:highlight w:val="none"/>
                <w14:textFill>
                  <w14:solidFill>
                    <w14:schemeClr w14:val="tx1"/>
                  </w14:solidFill>
                </w14:textFill>
              </w:rPr>
              <w:t>预测值满足</w:t>
            </w:r>
            <w:r>
              <w:rPr>
                <w:rFonts w:ascii="Times New Roman" w:hAnsi="Times New Roman" w:cs="Times New Roman"/>
                <w:color w:val="000000" w:themeColor="text1"/>
                <w:sz w:val="24"/>
                <w:highlight w:val="none"/>
                <w14:textFill>
                  <w14:solidFill>
                    <w14:schemeClr w14:val="tx1"/>
                  </w14:solidFill>
                </w14:textFill>
              </w:rPr>
              <w:t>《工业企业厂界环境噪声排放标准》(GB12348-2008)中的</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ascii="Times New Roman" w:hAnsi="Times New Roman" w:cs="Times New Roman"/>
                <w:color w:val="000000" w:themeColor="text1"/>
                <w:sz w:val="24"/>
                <w:highlight w:val="none"/>
                <w14:textFill>
                  <w14:solidFill>
                    <w14:schemeClr w14:val="tx1"/>
                  </w14:solidFill>
                </w14:textFill>
              </w:rPr>
              <w:t>类标准</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32"/>
                <w:highlight w:val="none"/>
                <w14:textFill>
                  <w14:solidFill>
                    <w14:schemeClr w14:val="tx1"/>
                  </w14:solidFill>
                </w14:textFill>
              </w:rPr>
              <w:t>厂界噪声</w:t>
            </w:r>
            <w:r>
              <w:rPr>
                <w:rFonts w:ascii="Times New Roman" w:hAnsi="Times New Roman" w:cs="Times New Roman"/>
                <w:color w:val="000000" w:themeColor="text1"/>
                <w:sz w:val="24"/>
                <w:szCs w:val="32"/>
                <w:highlight w:val="none"/>
                <w14:textFill>
                  <w14:solidFill>
                    <w14:schemeClr w14:val="tx1"/>
                  </w14:solidFill>
                </w14:textFill>
              </w:rPr>
              <w:t>达标排放</w:t>
            </w:r>
            <w:r>
              <w:rPr>
                <w:rFonts w:hint="eastAsia" w:ascii="Times New Roman" w:hAnsi="Times New Roman" w:cs="Times New Roman"/>
                <w:color w:val="000000" w:themeColor="text1"/>
                <w:sz w:val="24"/>
                <w:szCs w:val="32"/>
                <w:highlight w:val="none"/>
                <w:lang w:eastAsia="zh-CN"/>
                <w14:textFill>
                  <w14:solidFill>
                    <w14:schemeClr w14:val="tx1"/>
                  </w14:solidFill>
                </w14:textFill>
              </w:rPr>
              <w:t>。</w:t>
            </w:r>
          </w:p>
          <w:p>
            <w:pPr>
              <w:adjustRightInd w:val="0"/>
              <w:snapToGrid w:val="0"/>
              <w:spacing w:line="360" w:lineRule="auto"/>
              <w:ind w:firstLine="482"/>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项目所在厂区外</w:t>
            </w:r>
            <w:r>
              <w:rPr>
                <w:rFonts w:hint="eastAsia" w:ascii="Times New Roman" w:hAnsi="Times New Roman" w:cs="Times New Roman"/>
                <w:color w:val="000000" w:themeColor="text1"/>
                <w:sz w:val="24"/>
                <w:highlight w:val="none"/>
                <w:lang w:val="en-US" w:eastAsia="zh-CN"/>
                <w14:textFill>
                  <w14:solidFill>
                    <w14:schemeClr w14:val="tx1"/>
                  </w14:solidFill>
                </w14:textFill>
              </w:rPr>
              <w:t>西北侧</w:t>
            </w:r>
            <w:r>
              <w:rPr>
                <w:rFonts w:hint="eastAsia" w:ascii="Times New Roman" w:hAnsi="Times New Roman" w:eastAsia="宋体" w:cs="Times New Roman"/>
                <w:color w:val="000000" w:themeColor="text1"/>
                <w:sz w:val="24"/>
                <w:highlight w:val="none"/>
                <w14:textFill>
                  <w14:solidFill>
                    <w14:schemeClr w14:val="tx1"/>
                  </w14:solidFill>
                </w14:textFill>
              </w:rPr>
              <w:t>8m</w:t>
            </w:r>
            <w:r>
              <w:rPr>
                <w:rFonts w:hint="eastAsia" w:ascii="Times New Roman" w:hAnsi="Times New Roman" w:cs="Times New Roman"/>
                <w:color w:val="000000" w:themeColor="text1"/>
                <w:sz w:val="24"/>
                <w:highlight w:val="none"/>
                <w14:textFill>
                  <w14:solidFill>
                    <w14:schemeClr w14:val="tx1"/>
                  </w14:solidFill>
                </w14:textFill>
              </w:rPr>
              <w:t>声环境保护目标</w:t>
            </w:r>
            <w:r>
              <w:rPr>
                <w:rFonts w:hint="eastAsia" w:ascii="Times New Roman" w:hAnsi="Times New Roman" w:eastAsia="宋体" w:cs="Times New Roman"/>
                <w:color w:val="000000" w:themeColor="text1"/>
                <w:sz w:val="24"/>
                <w:highlight w:val="none"/>
                <w14:textFill>
                  <w14:solidFill>
                    <w14:schemeClr w14:val="tx1"/>
                  </w14:solidFill>
                </w14:textFill>
              </w:rPr>
              <w:t>处</w:t>
            </w:r>
            <w:r>
              <w:rPr>
                <w:rFonts w:hint="eastAsia" w:ascii="Times New Roman" w:hAnsi="Times New Roman" w:cs="Times New Roman"/>
                <w:color w:val="000000" w:themeColor="text1"/>
                <w:sz w:val="24"/>
                <w:highlight w:val="none"/>
                <w:lang w:val="en-US" w:eastAsia="zh-CN"/>
                <w14:textFill>
                  <w14:solidFill>
                    <w14:schemeClr w14:val="tx1"/>
                  </w14:solidFill>
                </w14:textFill>
              </w:rPr>
              <w:t>的贡献值和预测值均</w:t>
            </w:r>
            <w:r>
              <w:rPr>
                <w:rFonts w:ascii="Times New Roman" w:hAnsi="Times New Roman" w:cs="Times New Roman"/>
                <w:color w:val="000000" w:themeColor="text1"/>
                <w:kern w:val="0"/>
                <w:sz w:val="24"/>
                <w:highlight w:val="none"/>
                <w14:textFill>
                  <w14:solidFill>
                    <w14:schemeClr w14:val="tx1"/>
                  </w14:solidFill>
                </w14:textFill>
              </w:rPr>
              <w:t>满足《声环境质量标准》（GB3096-2008）中2类区标准要求</w:t>
            </w:r>
            <w:r>
              <w:rPr>
                <w:rFonts w:hint="eastAsia" w:ascii="Times New Roman" w:hAnsi="Times New Roman" w:cs="Times New Roman"/>
                <w:color w:val="000000" w:themeColor="text1"/>
                <w:kern w:val="0"/>
                <w:sz w:val="24"/>
                <w:highlight w:val="none"/>
                <w14:textFill>
                  <w14:solidFill>
                    <w14:schemeClr w14:val="tx1"/>
                  </w14:solidFill>
                </w14:textFill>
              </w:rPr>
              <w:t>。</w:t>
            </w:r>
          </w:p>
          <w:p>
            <w:pPr>
              <w:adjustRightInd w:val="0"/>
              <w:snapToGrid w:val="0"/>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（3）监测要求</w:t>
            </w:r>
          </w:p>
          <w:p>
            <w:pPr>
              <w:adjustRightInd w:val="0"/>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根据《排污单位自行监测技术指南 总则》（HJ 819-2017），</w:t>
            </w:r>
            <w:r>
              <w:rPr>
                <w:rFonts w:ascii="Times New Roman" w:hAnsi="Times New Roman" w:cs="Times New Roman"/>
                <w:color w:val="000000" w:themeColor="text1"/>
                <w:sz w:val="24"/>
                <w:highlight w:val="none"/>
                <w14:textFill>
                  <w14:solidFill>
                    <w14:schemeClr w14:val="tx1"/>
                  </w14:solidFill>
                </w14:textFill>
              </w:rPr>
              <w:t>项目</w:t>
            </w:r>
            <w:r>
              <w:rPr>
                <w:rFonts w:hint="eastAsia" w:ascii="Times New Roman" w:hAnsi="Times New Roman" w:cs="Times New Roman"/>
                <w:color w:val="000000" w:themeColor="text1"/>
                <w:sz w:val="24"/>
                <w:highlight w:val="none"/>
                <w14:textFill>
                  <w14:solidFill>
                    <w14:schemeClr w14:val="tx1"/>
                  </w14:solidFill>
                </w14:textFill>
              </w:rPr>
              <w:t>噪声</w:t>
            </w:r>
            <w:r>
              <w:rPr>
                <w:rFonts w:ascii="Times New Roman" w:hAnsi="Times New Roman" w:cs="Times New Roman"/>
                <w:color w:val="000000" w:themeColor="text1"/>
                <w:sz w:val="24"/>
                <w:highlight w:val="none"/>
                <w14:textFill>
                  <w14:solidFill>
                    <w14:schemeClr w14:val="tx1"/>
                  </w14:solidFill>
                </w14:textFill>
              </w:rPr>
              <w:t>监测要求详见下表：</w:t>
            </w:r>
          </w:p>
          <w:p>
            <w:pPr>
              <w:pStyle w:val="15"/>
              <w:widowControl w:val="0"/>
              <w:numPr>
                <w:ilvl w:val="0"/>
                <w:numId w:val="9"/>
              </w:numPr>
              <w:snapToGrid w:val="0"/>
              <w:ind w:leftChars="0" w:firstLine="0"/>
              <w:jc w:val="center"/>
              <w:rPr>
                <w:rFonts w:hint="default"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项目噪声监测要求一览表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628"/>
              <w:gridCol w:w="987"/>
              <w:gridCol w:w="896"/>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Align w:val="center"/>
                </w:tcPr>
                <w:p>
                  <w:pPr>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环境要素</w:t>
                  </w:r>
                </w:p>
              </w:tc>
              <w:tc>
                <w:tcPr>
                  <w:tcW w:w="963" w:type="pct"/>
                  <w:vAlign w:val="center"/>
                </w:tcPr>
                <w:p>
                  <w:pPr>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监测位置</w:t>
                  </w:r>
                </w:p>
              </w:tc>
              <w:tc>
                <w:tcPr>
                  <w:tcW w:w="584" w:type="pct"/>
                  <w:vAlign w:val="center"/>
                </w:tcPr>
                <w:p>
                  <w:pPr>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监测项目</w:t>
                  </w:r>
                </w:p>
              </w:tc>
              <w:tc>
                <w:tcPr>
                  <w:tcW w:w="530" w:type="pct"/>
                  <w:vAlign w:val="center"/>
                </w:tcPr>
                <w:p>
                  <w:pPr>
                    <w:jc w:val="center"/>
                    <w:rPr>
                      <w:rFonts w:hint="eastAsia" w:cs="Times New Roman" w:eastAsiaTheme="minorEastAsia"/>
                      <w:b/>
                      <w:color w:val="000000" w:themeColor="text1"/>
                      <w:szCs w:val="21"/>
                      <w:highlight w:val="none"/>
                      <w:lang w:val="en-US" w:eastAsia="zh-CN"/>
                      <w14:textFill>
                        <w14:solidFill>
                          <w14:schemeClr w14:val="tx1"/>
                        </w14:solidFill>
                      </w14:textFill>
                    </w:rPr>
                  </w:pPr>
                  <w:r>
                    <w:rPr>
                      <w:rFonts w:hint="eastAsia" w:cs="Times New Roman"/>
                      <w:b/>
                      <w:color w:val="000000" w:themeColor="text1"/>
                      <w:szCs w:val="21"/>
                      <w:highlight w:val="none"/>
                      <w:lang w:val="en-US" w:eastAsia="zh-CN"/>
                      <w14:textFill>
                        <w14:solidFill>
                          <w14:schemeClr w14:val="tx1"/>
                        </w14:solidFill>
                      </w14:textFill>
                    </w:rPr>
                    <w:t>监测频次</w:t>
                  </w:r>
                </w:p>
              </w:tc>
              <w:tc>
                <w:tcPr>
                  <w:tcW w:w="1973" w:type="pct"/>
                  <w:vAlign w:val="center"/>
                </w:tcPr>
                <w:p>
                  <w:pPr>
                    <w:jc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cs="Times New Roman"/>
                      <w:b/>
                      <w:color w:val="000000" w:themeColor="text1"/>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48"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东、南</w:t>
                  </w:r>
                  <w:r>
                    <w:rPr>
                      <w:rFonts w:hint="eastAsia" w:ascii="Times New Roman" w:hAnsi="Times New Roman" w:cs="Times New Roman"/>
                      <w:color w:val="000000" w:themeColor="text1"/>
                      <w:szCs w:val="21"/>
                      <w:highlight w:val="none"/>
                      <w14:textFill>
                        <w14:solidFill>
                          <w14:schemeClr w14:val="tx1"/>
                        </w14:solidFill>
                      </w14:textFill>
                    </w:rPr>
                    <w:t>厂界</w:t>
                  </w:r>
                  <w:r>
                    <w:rPr>
                      <w:rFonts w:ascii="Times New Roman" w:hAnsi="Times New Roman" w:cs="Times New Roman"/>
                      <w:color w:val="000000" w:themeColor="text1"/>
                      <w:szCs w:val="21"/>
                      <w:highlight w:val="none"/>
                      <w14:textFill>
                        <w14:solidFill>
                          <w14:schemeClr w14:val="tx1"/>
                        </w14:solidFill>
                      </w14:textFill>
                    </w:rPr>
                    <w:t>噪声</w:t>
                  </w:r>
                </w:p>
              </w:tc>
              <w:tc>
                <w:tcPr>
                  <w:tcW w:w="963"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四</w:t>
                  </w:r>
                  <w:r>
                    <w:rPr>
                      <w:rFonts w:ascii="Times New Roman" w:hAnsi="Times New Roman" w:cs="Times New Roman"/>
                      <w:color w:val="000000" w:themeColor="text1"/>
                      <w:szCs w:val="21"/>
                      <w:highlight w:val="none"/>
                      <w14:textFill>
                        <w14:solidFill>
                          <w14:schemeClr w14:val="tx1"/>
                        </w14:solidFill>
                      </w14:textFill>
                    </w:rPr>
                    <w:t>厂界外1m处</w:t>
                  </w:r>
                </w:p>
              </w:tc>
              <w:tc>
                <w:tcPr>
                  <w:tcW w:w="584"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Leq</w:t>
                  </w:r>
                </w:p>
              </w:tc>
              <w:tc>
                <w:tcPr>
                  <w:tcW w:w="530" w:type="pct"/>
                  <w:vAlign w:val="center"/>
                </w:tcPr>
                <w:p>
                  <w:pPr>
                    <w:topLinePunct/>
                    <w:adjustRightInd w:val="0"/>
                    <w:jc w:val="center"/>
                    <w:textAlignment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1次/季</w:t>
                  </w:r>
                </w:p>
              </w:tc>
              <w:tc>
                <w:tcPr>
                  <w:tcW w:w="1973" w:type="pct"/>
                  <w:vAlign w:val="center"/>
                </w:tcPr>
                <w:p>
                  <w:pPr>
                    <w:topLinePunct/>
                    <w:adjustRightInd w:val="0"/>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《工业企业厂界环境噪声排放标准》（GB12348-2008）中</w:t>
                  </w:r>
                  <w:r>
                    <w:rPr>
                      <w:rFonts w:hint="eastAsia" w:ascii="Times New Roman" w:hAnsi="Times New Roman" w:cs="Times New Roman"/>
                      <w:color w:val="000000" w:themeColor="text1"/>
                      <w:szCs w:val="21"/>
                      <w:highlight w:val="none"/>
                      <w:lang w:val="en-US" w:eastAsia="zh-CN"/>
                      <w14:textFill>
                        <w14:solidFill>
                          <w14:schemeClr w14:val="tx1"/>
                        </w14:solidFill>
                      </w14:textFill>
                    </w:rPr>
                    <w:t>3</w:t>
                  </w:r>
                  <w:r>
                    <w:rPr>
                      <w:rFonts w:ascii="Times New Roman" w:hAnsi="Times New Roman" w:cs="Times New Roman"/>
                      <w:color w:val="000000" w:themeColor="text1"/>
                      <w:szCs w:val="21"/>
                      <w:highlight w:val="none"/>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48"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西</w:t>
                  </w:r>
                  <w:r>
                    <w:rPr>
                      <w:rFonts w:hint="eastAsia" w:ascii="Times New Roman" w:hAnsi="Times New Roman" w:cs="Times New Roman"/>
                      <w:color w:val="000000" w:themeColor="text1"/>
                      <w:szCs w:val="21"/>
                      <w:highlight w:val="none"/>
                      <w14:textFill>
                        <w14:solidFill>
                          <w14:schemeClr w14:val="tx1"/>
                        </w14:solidFill>
                      </w14:textFill>
                    </w:rPr>
                    <w:t>厂界</w:t>
                  </w:r>
                  <w:r>
                    <w:rPr>
                      <w:rFonts w:ascii="Times New Roman" w:hAnsi="Times New Roman" w:cs="Times New Roman"/>
                      <w:color w:val="000000" w:themeColor="text1"/>
                      <w:szCs w:val="21"/>
                      <w:highlight w:val="none"/>
                      <w14:textFill>
                        <w14:solidFill>
                          <w14:schemeClr w14:val="tx1"/>
                        </w14:solidFill>
                      </w14:textFill>
                    </w:rPr>
                    <w:t>噪声</w:t>
                  </w:r>
                </w:p>
              </w:tc>
              <w:tc>
                <w:tcPr>
                  <w:tcW w:w="963" w:type="pct"/>
                  <w:vAlign w:val="center"/>
                </w:tcPr>
                <w:p>
                  <w:pPr>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四</w:t>
                  </w:r>
                  <w:r>
                    <w:rPr>
                      <w:rFonts w:ascii="Times New Roman" w:hAnsi="Times New Roman" w:cs="Times New Roman"/>
                      <w:color w:val="000000" w:themeColor="text1"/>
                      <w:szCs w:val="21"/>
                      <w:highlight w:val="none"/>
                      <w14:textFill>
                        <w14:solidFill>
                          <w14:schemeClr w14:val="tx1"/>
                        </w14:solidFill>
                      </w14:textFill>
                    </w:rPr>
                    <w:t>厂界外1m处</w:t>
                  </w:r>
                </w:p>
              </w:tc>
              <w:tc>
                <w:tcPr>
                  <w:tcW w:w="584"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Leq</w:t>
                  </w:r>
                </w:p>
              </w:tc>
              <w:tc>
                <w:tcPr>
                  <w:tcW w:w="530" w:type="pct"/>
                  <w:vAlign w:val="center"/>
                </w:tcPr>
                <w:p>
                  <w:pPr>
                    <w:topLinePunct/>
                    <w:adjustRightInd w:val="0"/>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1次/季</w:t>
                  </w:r>
                </w:p>
              </w:tc>
              <w:tc>
                <w:tcPr>
                  <w:tcW w:w="1973" w:type="pct"/>
                  <w:vAlign w:val="center"/>
                </w:tcPr>
                <w:p>
                  <w:pPr>
                    <w:topLinePunct/>
                    <w:adjustRightInd w:val="0"/>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《工业企业厂界环境噪声排放标准》（GB12348-2008）中</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ascii="Times New Roman" w:hAnsi="Times New Roman" w:cs="Times New Roman"/>
                      <w:color w:val="000000" w:themeColor="text1"/>
                      <w:szCs w:val="21"/>
                      <w:highlight w:val="none"/>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48" w:type="pct"/>
                  <w:vAlign w:val="center"/>
                </w:tcPr>
                <w:p>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北</w:t>
                  </w:r>
                  <w:r>
                    <w:rPr>
                      <w:rFonts w:hint="eastAsia" w:ascii="Times New Roman" w:hAnsi="Times New Roman" w:cs="Times New Roman"/>
                      <w:color w:val="000000" w:themeColor="text1"/>
                      <w:szCs w:val="21"/>
                      <w:highlight w:val="none"/>
                      <w14:textFill>
                        <w14:solidFill>
                          <w14:schemeClr w14:val="tx1"/>
                        </w14:solidFill>
                      </w14:textFill>
                    </w:rPr>
                    <w:t>厂界</w:t>
                  </w:r>
                  <w:r>
                    <w:rPr>
                      <w:rFonts w:ascii="Times New Roman" w:hAnsi="Times New Roman" w:cs="Times New Roman"/>
                      <w:color w:val="000000" w:themeColor="text1"/>
                      <w:szCs w:val="21"/>
                      <w:highlight w:val="none"/>
                      <w14:textFill>
                        <w14:solidFill>
                          <w14:schemeClr w14:val="tx1"/>
                        </w14:solidFill>
                      </w14:textFill>
                    </w:rPr>
                    <w:t>噪声</w:t>
                  </w:r>
                </w:p>
              </w:tc>
              <w:tc>
                <w:tcPr>
                  <w:tcW w:w="963" w:type="pct"/>
                  <w:vAlign w:val="center"/>
                </w:tcPr>
                <w:p>
                  <w:pPr>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四</w:t>
                  </w:r>
                  <w:r>
                    <w:rPr>
                      <w:rFonts w:ascii="Times New Roman" w:hAnsi="Times New Roman" w:cs="Times New Roman"/>
                      <w:color w:val="000000" w:themeColor="text1"/>
                      <w:szCs w:val="21"/>
                      <w:highlight w:val="none"/>
                      <w14:textFill>
                        <w14:solidFill>
                          <w14:schemeClr w14:val="tx1"/>
                        </w14:solidFill>
                      </w14:textFill>
                    </w:rPr>
                    <w:t>厂界外1m处</w:t>
                  </w:r>
                </w:p>
              </w:tc>
              <w:tc>
                <w:tcPr>
                  <w:tcW w:w="584" w:type="pct"/>
                  <w:vAlign w:val="center"/>
                </w:tcPr>
                <w:p>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Leq</w:t>
                  </w:r>
                </w:p>
              </w:tc>
              <w:tc>
                <w:tcPr>
                  <w:tcW w:w="530" w:type="pct"/>
                  <w:vAlign w:val="center"/>
                </w:tcPr>
                <w:p>
                  <w:pPr>
                    <w:topLinePunct/>
                    <w:adjustRightInd w:val="0"/>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1次/季</w:t>
                  </w:r>
                </w:p>
              </w:tc>
              <w:tc>
                <w:tcPr>
                  <w:tcW w:w="1973" w:type="pct"/>
                  <w:vAlign w:val="center"/>
                </w:tcPr>
                <w:p>
                  <w:pPr>
                    <w:topLinePunct/>
                    <w:adjustRightInd w:val="0"/>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《工业企业厂界环境噪声排放标准》（GB12348-2008）中</w:t>
                  </w:r>
                  <w:r>
                    <w:rPr>
                      <w:rFonts w:hint="eastAsia" w:ascii="Times New Roman" w:hAnsi="Times New Roman" w:cs="Times New Roman"/>
                      <w:color w:val="000000" w:themeColor="text1"/>
                      <w:szCs w:val="21"/>
                      <w:highlight w:val="none"/>
                      <w:lang w:val="en-US" w:eastAsia="zh-CN"/>
                      <w14:textFill>
                        <w14:solidFill>
                          <w14:schemeClr w14:val="tx1"/>
                        </w14:solidFill>
                      </w14:textFill>
                    </w:rPr>
                    <w:t>4</w:t>
                  </w:r>
                  <w:r>
                    <w:rPr>
                      <w:rFonts w:ascii="Times New Roman" w:hAnsi="Times New Roman" w:cs="Times New Roman"/>
                      <w:color w:val="000000" w:themeColor="text1"/>
                      <w:szCs w:val="21"/>
                      <w:highlight w:val="none"/>
                      <w14:textFill>
                        <w14:solidFill>
                          <w14:schemeClr w14:val="tx1"/>
                        </w14:solidFill>
                      </w14:textFill>
                    </w:rPr>
                    <w:t>类标准</w:t>
                  </w:r>
                </w:p>
              </w:tc>
            </w:tr>
          </w:tbl>
          <w:p>
            <w:pPr>
              <w:snapToGrid w:val="0"/>
              <w:spacing w:before="156" w:beforeLines="50" w:line="360" w:lineRule="auto"/>
              <w:ind w:firstLine="482"/>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4、</w:t>
            </w:r>
            <w:r>
              <w:rPr>
                <w:rFonts w:hint="eastAsia" w:ascii="Times New Roman" w:hAnsi="Times New Roman" w:cs="Times New Roman"/>
                <w:b/>
                <w:bCs/>
                <w:color w:val="000000" w:themeColor="text1"/>
                <w:sz w:val="24"/>
                <w:highlight w:val="none"/>
                <w14:textFill>
                  <w14:solidFill>
                    <w14:schemeClr w14:val="tx1"/>
                  </w14:solidFill>
                </w14:textFill>
              </w:rPr>
              <w:t>固体废物环境影响和保护措施</w:t>
            </w:r>
          </w:p>
          <w:p>
            <w:pPr>
              <w:snapToGrid w:val="0"/>
              <w:spacing w:line="360" w:lineRule="auto"/>
              <w:ind w:firstLine="480" w:firstLineChars="200"/>
              <w:rPr>
                <w:rFonts w:hint="eastAsia"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项目生产运行阶段产生的固体废物主要为：</w:t>
            </w:r>
            <w:r>
              <w:rPr>
                <w:rFonts w:hint="eastAsia" w:ascii="Times New Roman" w:hAnsi="Times New Roman" w:cs="Times New Roman"/>
                <w:color w:val="000000" w:themeColor="text1"/>
                <w:sz w:val="24"/>
                <w:highlight w:val="none"/>
                <w:lang w:val="en-US" w:eastAsia="zh-CN"/>
                <w14:textFill>
                  <w14:solidFill>
                    <w14:schemeClr w14:val="tx1"/>
                  </w14:solidFill>
                </w14:textFill>
              </w:rPr>
              <w:t>炉渣、除尘灰</w:t>
            </w:r>
            <w:r>
              <w:rPr>
                <w:rFonts w:hint="eastAsia" w:ascii="Times New Roman" w:hAnsi="Times New Roman" w:cs="Times New Roman"/>
                <w:color w:val="000000" w:themeColor="text1"/>
                <w:sz w:val="24"/>
                <w:highlight w:val="none"/>
                <w:lang w:eastAsia="zh-CN"/>
                <w14:textFill>
                  <w14:solidFill>
                    <w14:schemeClr w14:val="tx1"/>
                  </w14:solidFill>
                </w14:textFill>
              </w:rPr>
              <w:t>。</w:t>
            </w:r>
          </w:p>
          <w:p>
            <w:pPr>
              <w:snapToGrid w:val="0"/>
              <w:spacing w:line="360"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一般固体废物：</w:t>
            </w:r>
            <w:r>
              <w:rPr>
                <w:rFonts w:hint="eastAsia" w:ascii="Times New Roman" w:hAnsi="Times New Roman" w:cs="Times New Roman"/>
                <w:color w:val="000000" w:themeColor="text1"/>
                <w:sz w:val="24"/>
                <w:highlight w:val="none"/>
                <w:lang w:val="en-US" w:eastAsia="zh-CN"/>
                <w14:textFill>
                  <w14:solidFill>
                    <w14:schemeClr w14:val="tx1"/>
                  </w14:solidFill>
                </w14:textFill>
              </w:rPr>
              <w:t>炉渣产生量为630</w:t>
            </w:r>
            <w:r>
              <w:rPr>
                <w:rFonts w:hint="eastAsia" w:ascii="Times New Roman" w:hAnsi="Times New Roman" w:cs="Times New Roman"/>
                <w:color w:val="000000" w:themeColor="text1"/>
                <w:sz w:val="24"/>
                <w:highlight w:val="none"/>
                <w14:textFill>
                  <w14:solidFill>
                    <w14:schemeClr w14:val="tx1"/>
                  </w14:solidFill>
                </w14:textFill>
              </w:rPr>
              <w:t>t/a</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除尘灰产生量为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2050.76</w:t>
            </w:r>
            <w:r>
              <w:rPr>
                <w:rFonts w:hint="eastAsia" w:ascii="Times New Roman" w:hAnsi="Times New Roman" w:cs="Times New Roman"/>
                <w:color w:val="000000" w:themeColor="text1"/>
                <w:sz w:val="24"/>
                <w:highlight w:val="none"/>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除尘灰送往热能中心作燃料，热能中心炉渣运至有机肥厂作为原料使用。</w:t>
            </w:r>
          </w:p>
          <w:p>
            <w:pPr>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项目运营期固体废物产生情况详见下表：</w:t>
            </w:r>
          </w:p>
          <w:p>
            <w:pPr>
              <w:pStyle w:val="15"/>
              <w:widowControl w:val="0"/>
              <w:numPr>
                <w:ilvl w:val="0"/>
                <w:numId w:val="9"/>
              </w:numPr>
              <w:snapToGrid w:val="0"/>
              <w:spacing w:line="360" w:lineRule="auto"/>
              <w:ind w:leftChars="0" w:firstLine="0"/>
              <w:jc w:val="center"/>
              <w:rPr>
                <w:rFonts w:hint="default"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固体废物产生情况一览表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675"/>
              <w:gridCol w:w="719"/>
              <w:gridCol w:w="675"/>
              <w:gridCol w:w="885"/>
              <w:gridCol w:w="900"/>
              <w:gridCol w:w="1185"/>
              <w:gridCol w:w="660"/>
              <w:gridCol w:w="824"/>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序号</w:t>
                  </w:r>
                </w:p>
              </w:tc>
              <w:tc>
                <w:tcPr>
                  <w:tcW w:w="3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废物名称</w:t>
                  </w:r>
                </w:p>
              </w:tc>
              <w:tc>
                <w:tcPr>
                  <w:tcW w:w="42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属性</w:t>
                  </w:r>
                </w:p>
              </w:tc>
              <w:tc>
                <w:tcPr>
                  <w:tcW w:w="3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类别</w:t>
                  </w:r>
                </w:p>
              </w:tc>
              <w:tc>
                <w:tcPr>
                  <w:tcW w:w="52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代码</w:t>
                  </w:r>
                </w:p>
              </w:tc>
              <w:tc>
                <w:tcPr>
                  <w:tcW w:w="53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产生量（t/a）</w:t>
                  </w:r>
                </w:p>
              </w:tc>
              <w:tc>
                <w:tcPr>
                  <w:tcW w:w="70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产生工序及装置</w:t>
                  </w:r>
                </w:p>
              </w:tc>
              <w:tc>
                <w:tcPr>
                  <w:tcW w:w="3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形态</w:t>
                  </w:r>
                </w:p>
              </w:tc>
              <w:tc>
                <w:tcPr>
                  <w:tcW w:w="48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产废周期</w:t>
                  </w:r>
                </w:p>
              </w:tc>
              <w:tc>
                <w:tcPr>
                  <w:tcW w:w="93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lang w:bidi="ar"/>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08" w:type="pct"/>
                  <w:tcBorders>
                    <w:left w:val="single" w:color="auto" w:sz="4" w:space="0"/>
                    <w:right w:val="single" w:color="auto" w:sz="4" w:space="0"/>
                  </w:tcBorders>
                  <w:shd w:val="clear" w:color="auto" w:fill="auto"/>
                  <w:noWrap/>
                  <w:vAlign w:val="center"/>
                </w:tcPr>
                <w:p>
                  <w:pPr>
                    <w:widowControl/>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399" w:type="pct"/>
                  <w:tcBorders>
                    <w:left w:val="nil"/>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炉渣</w:t>
                  </w:r>
                </w:p>
              </w:tc>
              <w:tc>
                <w:tcPr>
                  <w:tcW w:w="425" w:type="pct"/>
                  <w:vMerge w:val="restart"/>
                  <w:tcBorders>
                    <w:left w:val="nil"/>
                    <w:right w:val="single" w:color="auto" w:sz="4" w:space="0"/>
                  </w:tcBorders>
                  <w:shd w:val="clear" w:color="auto" w:fill="auto"/>
                  <w:noWrap/>
                  <w:vAlign w:val="center"/>
                </w:tcPr>
                <w:p>
                  <w:pPr>
                    <w:jc w:val="center"/>
                    <w:rPr>
                      <w:rFonts w:ascii="Times New Roman" w:hAnsi="Times New Roman" w:cs="Times New Roman"/>
                      <w:bCs/>
                      <w:color w:val="000000" w:themeColor="text1"/>
                      <w:szCs w:val="21"/>
                      <w:highlight w:val="none"/>
                      <w:lang w:bidi="ar"/>
                      <w14:textFill>
                        <w14:solidFill>
                          <w14:schemeClr w14:val="tx1"/>
                        </w14:solidFill>
                      </w14:textFill>
                    </w:rPr>
                  </w:pPr>
                  <w:r>
                    <w:rPr>
                      <w:rFonts w:ascii="Times New Roman" w:hAnsi="Times New Roman" w:cs="Times New Roman"/>
                      <w:bCs/>
                      <w:color w:val="000000" w:themeColor="text1"/>
                      <w:szCs w:val="21"/>
                      <w:highlight w:val="none"/>
                      <w:lang w:bidi="ar"/>
                      <w14:textFill>
                        <w14:solidFill>
                          <w14:schemeClr w14:val="tx1"/>
                        </w14:solidFill>
                      </w14:textFill>
                    </w:rPr>
                    <w:t>一般工业固体废物</w:t>
                  </w:r>
                </w:p>
              </w:tc>
              <w:tc>
                <w:tcPr>
                  <w:tcW w:w="3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锅炉渣</w:t>
                  </w:r>
                </w:p>
              </w:tc>
              <w:tc>
                <w:tcPr>
                  <w:tcW w:w="52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highlight w:val="none"/>
                      <w14:textFill>
                        <w14:solidFill>
                          <w14:schemeClr w14:val="tx1"/>
                        </w14:solidFill>
                      </w14:textFill>
                    </w:rPr>
                  </w:pPr>
                  <w:r>
                    <w:rPr>
                      <w:rFonts w:hint="eastAsia" w:ascii="Times New Roman" w:hAnsi="Times New Roman" w:cs="Times New Roman"/>
                      <w:bCs/>
                      <w:color w:val="000000" w:themeColor="text1"/>
                      <w:szCs w:val="21"/>
                      <w:highlight w:val="none"/>
                      <w:lang w:bidi="ar"/>
                      <w14:textFill>
                        <w14:solidFill>
                          <w14:schemeClr w14:val="tx1"/>
                        </w14:solidFill>
                      </w14:textFill>
                    </w:rPr>
                    <w:t>443-01-6</w:t>
                  </w:r>
                  <w:r>
                    <w:rPr>
                      <w:rFonts w:hint="eastAsia" w:ascii="Times New Roman" w:hAnsi="Times New Roman" w:cs="Times New Roman"/>
                      <w:bCs/>
                      <w:color w:val="000000" w:themeColor="text1"/>
                      <w:szCs w:val="21"/>
                      <w:highlight w:val="none"/>
                      <w:lang w:val="en-US" w:eastAsia="zh-CN" w:bidi="ar"/>
                      <w14:textFill>
                        <w14:solidFill>
                          <w14:schemeClr w14:val="tx1"/>
                        </w14:solidFill>
                      </w14:textFill>
                    </w:rPr>
                    <w:t>4</w:t>
                  </w:r>
                </w:p>
              </w:tc>
              <w:tc>
                <w:tcPr>
                  <w:tcW w:w="53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630</w:t>
                  </w:r>
                </w:p>
              </w:tc>
              <w:tc>
                <w:tcPr>
                  <w:tcW w:w="700" w:type="pct"/>
                  <w:tcBorders>
                    <w:left w:val="nil"/>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bidi="ar"/>
                      <w14:textFill>
                        <w14:solidFill>
                          <w14:schemeClr w14:val="tx1"/>
                        </w14:solidFill>
                      </w14:textFill>
                    </w:rPr>
                    <w:t>生物质锅炉</w:t>
                  </w:r>
                </w:p>
              </w:tc>
              <w:tc>
                <w:tcPr>
                  <w:tcW w:w="390" w:type="pct"/>
                  <w:tcBorders>
                    <w:left w:val="nil"/>
                    <w:right w:val="single" w:color="auto" w:sz="4" w:space="0"/>
                  </w:tcBorders>
                  <w:shd w:val="clear" w:color="auto" w:fill="auto"/>
                  <w:noWrap/>
                  <w:vAlign w:val="center"/>
                </w:tcPr>
                <w:p>
                  <w:pPr>
                    <w:autoSpaceDE w:val="0"/>
                    <w:jc w:val="center"/>
                    <w:rPr>
                      <w:rFonts w:ascii="Times New Roman" w:hAnsi="Times New Roman" w:cs="Times New Roman"/>
                      <w:color w:val="000000" w:themeColor="text1"/>
                      <w:szCs w:val="21"/>
                      <w:highlight w:val="none"/>
                      <w:lang w:bidi="ar"/>
                      <w14:textFill>
                        <w14:solidFill>
                          <w14:schemeClr w14:val="tx1"/>
                        </w14:solidFill>
                      </w14:textFill>
                    </w:rPr>
                  </w:pPr>
                  <w:r>
                    <w:rPr>
                      <w:rFonts w:ascii="Times New Roman" w:hAnsi="Times New Roman" w:cs="Times New Roman"/>
                      <w:color w:val="000000" w:themeColor="text1"/>
                      <w:szCs w:val="21"/>
                      <w:highlight w:val="none"/>
                      <w:lang w:bidi="ar"/>
                      <w14:textFill>
                        <w14:solidFill>
                          <w14:schemeClr w14:val="tx1"/>
                        </w14:solidFill>
                      </w14:textFill>
                    </w:rPr>
                    <w:t>固态</w:t>
                  </w:r>
                </w:p>
              </w:tc>
              <w:tc>
                <w:tcPr>
                  <w:tcW w:w="48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1年</w:t>
                  </w:r>
                </w:p>
              </w:tc>
              <w:tc>
                <w:tcPr>
                  <w:tcW w:w="933" w:type="pct"/>
                  <w:vMerge w:val="restart"/>
                  <w:tcBorders>
                    <w:top w:val="single" w:color="auto" w:sz="4" w:space="0"/>
                    <w:left w:val="nil"/>
                    <w:right w:val="single" w:color="auto" w:sz="4" w:space="0"/>
                  </w:tcBorders>
                  <w:shd w:val="clear" w:color="auto" w:fill="auto"/>
                  <w:noWrap/>
                  <w:vAlign w:val="center"/>
                </w:tcPr>
                <w:p>
                  <w:pPr>
                    <w:widowControl/>
                    <w:jc w:val="center"/>
                    <w:rPr>
                      <w:rFonts w:hint="eastAsia" w:ascii="Times New Roman" w:hAnsi="Times New Roman" w:cs="Times New Roman"/>
                      <w:bCs/>
                      <w:color w:val="000000" w:themeColor="text1"/>
                      <w:spacing w:val="9"/>
                      <w:szCs w:val="2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lang w:val="en-US" w:eastAsia="zh-CN"/>
                      <w14:textFill>
                        <w14:solidFill>
                          <w14:schemeClr w14:val="tx1"/>
                        </w14:solidFill>
                      </w14:textFill>
                    </w:rPr>
                    <w:t>除尘灰送往热能中心作燃料，热能中心炉渣运至有机肥厂作为原料使用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08" w:type="pct"/>
                  <w:tcBorders>
                    <w:left w:val="single" w:color="auto" w:sz="4" w:space="0"/>
                    <w:right w:val="single" w:color="auto" w:sz="4" w:space="0"/>
                  </w:tcBorders>
                  <w:shd w:val="clear" w:color="auto" w:fill="auto"/>
                  <w:noWrap/>
                  <w:vAlign w:val="center"/>
                </w:tcPr>
                <w:p>
                  <w:pPr>
                    <w:widowControl/>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p>
              </w:tc>
              <w:tc>
                <w:tcPr>
                  <w:tcW w:w="399" w:type="pct"/>
                  <w:tcBorders>
                    <w:left w:val="nil"/>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除尘灰</w:t>
                  </w:r>
                </w:p>
              </w:tc>
              <w:tc>
                <w:tcPr>
                  <w:tcW w:w="425" w:type="pct"/>
                  <w:vMerge w:val="continue"/>
                  <w:tcBorders>
                    <w:left w:val="nil"/>
                    <w:right w:val="single" w:color="auto" w:sz="4" w:space="0"/>
                  </w:tcBorders>
                  <w:shd w:val="clear" w:color="auto" w:fill="auto"/>
                  <w:noWrap/>
                  <w:vAlign w:val="center"/>
                </w:tcPr>
                <w:p>
                  <w:pPr>
                    <w:jc w:val="center"/>
                    <w:rPr>
                      <w:rFonts w:ascii="Times New Roman" w:hAnsi="Times New Roman" w:cs="Times New Roman"/>
                      <w:bCs/>
                      <w:color w:val="000000" w:themeColor="text1"/>
                      <w:szCs w:val="21"/>
                      <w:highlight w:val="none"/>
                      <w:lang w:bidi="ar"/>
                      <w14:textFill>
                        <w14:solidFill>
                          <w14:schemeClr w14:val="tx1"/>
                        </w14:solidFill>
                      </w14:textFill>
                    </w:rPr>
                  </w:pPr>
                </w:p>
              </w:tc>
              <w:tc>
                <w:tcPr>
                  <w:tcW w:w="3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highlight w:val="none"/>
                      <w14:textFill>
                        <w14:solidFill>
                          <w14:schemeClr w14:val="tx1"/>
                        </w14:solidFill>
                      </w14:textFill>
                    </w:rPr>
                  </w:pPr>
                  <w:r>
                    <w:rPr>
                      <w:rFonts w:ascii="Times New Roman" w:hAnsi="Times New Roman" w:cs="Times New Roman"/>
                      <w:bCs/>
                      <w:color w:val="000000" w:themeColor="text1"/>
                      <w:kern w:val="0"/>
                      <w:szCs w:val="21"/>
                      <w:highlight w:val="none"/>
                      <w:lang w:bidi="ar"/>
                      <w14:textFill>
                        <w14:solidFill>
                          <w14:schemeClr w14:val="tx1"/>
                        </w14:solidFill>
                      </w14:textFill>
                    </w:rPr>
                    <w:t>工业粉尘</w:t>
                  </w:r>
                </w:p>
              </w:tc>
              <w:tc>
                <w:tcPr>
                  <w:tcW w:w="52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highlight w:val="none"/>
                      <w14:textFill>
                        <w14:solidFill>
                          <w14:schemeClr w14:val="tx1"/>
                        </w14:solidFill>
                      </w14:textFill>
                    </w:rPr>
                  </w:pPr>
                  <w:r>
                    <w:rPr>
                      <w:rFonts w:hint="eastAsia" w:ascii="Times New Roman" w:hAnsi="Times New Roman" w:cs="Times New Roman"/>
                      <w:bCs/>
                      <w:color w:val="000000" w:themeColor="text1"/>
                      <w:szCs w:val="21"/>
                      <w:highlight w:val="none"/>
                      <w:lang w:bidi="ar"/>
                      <w14:textFill>
                        <w14:solidFill>
                          <w14:schemeClr w14:val="tx1"/>
                        </w14:solidFill>
                      </w14:textFill>
                    </w:rPr>
                    <w:t>443-01-66</w:t>
                  </w:r>
                </w:p>
              </w:tc>
              <w:tc>
                <w:tcPr>
                  <w:tcW w:w="53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2050.76</w:t>
                  </w:r>
                </w:p>
              </w:tc>
              <w:tc>
                <w:tcPr>
                  <w:tcW w:w="700" w:type="pct"/>
                  <w:tcBorders>
                    <w:left w:val="nil"/>
                    <w:right w:val="single" w:color="auto" w:sz="4" w:space="0"/>
                  </w:tcBorders>
                  <w:shd w:val="clear" w:color="auto" w:fill="auto"/>
                  <w:noWrap/>
                  <w:vAlign w:val="center"/>
                </w:tcPr>
                <w:p>
                  <w:pPr>
                    <w:widowControl/>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除尘器</w:t>
                  </w:r>
                </w:p>
              </w:tc>
              <w:tc>
                <w:tcPr>
                  <w:tcW w:w="390" w:type="pct"/>
                  <w:tcBorders>
                    <w:left w:val="nil"/>
                    <w:right w:val="single" w:color="auto" w:sz="4" w:space="0"/>
                  </w:tcBorders>
                  <w:shd w:val="clear" w:color="auto" w:fill="auto"/>
                  <w:noWrap/>
                  <w:vAlign w:val="center"/>
                </w:tcPr>
                <w:p>
                  <w:pPr>
                    <w:autoSpaceDE w:val="0"/>
                    <w:jc w:val="center"/>
                    <w:rPr>
                      <w:rFonts w:ascii="Times New Roman" w:hAnsi="Times New Roman" w:cs="Times New Roman"/>
                      <w:color w:val="000000" w:themeColor="text1"/>
                      <w:szCs w:val="21"/>
                      <w:highlight w:val="none"/>
                      <w:lang w:bidi="ar"/>
                      <w14:textFill>
                        <w14:solidFill>
                          <w14:schemeClr w14:val="tx1"/>
                        </w14:solidFill>
                      </w14:textFill>
                    </w:rPr>
                  </w:pPr>
                  <w:r>
                    <w:rPr>
                      <w:rFonts w:ascii="Times New Roman" w:hAnsi="Times New Roman" w:cs="Times New Roman"/>
                      <w:color w:val="000000" w:themeColor="text1"/>
                      <w:szCs w:val="21"/>
                      <w:highlight w:val="none"/>
                      <w:lang w:bidi="ar"/>
                      <w14:textFill>
                        <w14:solidFill>
                          <w14:schemeClr w14:val="tx1"/>
                        </w14:solidFill>
                      </w14:textFill>
                    </w:rPr>
                    <w:t>固态</w:t>
                  </w:r>
                </w:p>
              </w:tc>
              <w:tc>
                <w:tcPr>
                  <w:tcW w:w="48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1年</w:t>
                  </w:r>
                </w:p>
              </w:tc>
              <w:tc>
                <w:tcPr>
                  <w:tcW w:w="933" w:type="pct"/>
                  <w:vMerge w:val="continue"/>
                  <w:tcBorders>
                    <w:left w:val="nil"/>
                    <w:right w:val="single" w:color="auto" w:sz="4" w:space="0"/>
                  </w:tcBorders>
                  <w:shd w:val="clear" w:color="auto" w:fill="auto"/>
                  <w:noWrap/>
                  <w:vAlign w:val="center"/>
                </w:tcPr>
                <w:p>
                  <w:pPr>
                    <w:widowControl/>
                    <w:jc w:val="center"/>
                    <w:rPr>
                      <w:rFonts w:hint="eastAsia" w:ascii="Times New Roman" w:hAnsi="Times New Roman" w:cs="Times New Roman"/>
                      <w:bCs/>
                      <w:color w:val="000000" w:themeColor="text1"/>
                      <w:spacing w:val="9"/>
                      <w:szCs w:val="21"/>
                      <w:highlight w:val="none"/>
                      <w14:textFill>
                        <w14:solidFill>
                          <w14:schemeClr w14:val="tx1"/>
                        </w14:solidFill>
                      </w14:textFill>
                    </w:rPr>
                  </w:pPr>
                </w:p>
              </w:tc>
            </w:tr>
          </w:tbl>
          <w:p>
            <w:pPr>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固体废物环境管理要求</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①</w:t>
            </w:r>
            <w:r>
              <w:rPr>
                <w:rFonts w:ascii="Times New Roman" w:hAnsi="Times New Roman" w:cs="Times New Roman"/>
                <w:color w:val="000000" w:themeColor="text1"/>
                <w:sz w:val="24"/>
                <w:highlight w:val="none"/>
                <w14:textFill>
                  <w14:solidFill>
                    <w14:schemeClr w14:val="tx1"/>
                  </w14:solidFill>
                </w14:textFill>
              </w:rPr>
              <w:t>项目运营期固体废物的产生、贮存、利用和处置全过程应严格遵守国家有关建设项目环境保护管理的规定。</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②</w:t>
            </w:r>
            <w:r>
              <w:rPr>
                <w:rFonts w:ascii="Times New Roman" w:hAnsi="Times New Roman" w:cs="Times New Roman"/>
                <w:color w:val="000000" w:themeColor="text1"/>
                <w:sz w:val="24"/>
                <w:highlight w:val="none"/>
                <w14:textFill>
                  <w14:solidFill>
                    <w14:schemeClr w14:val="tx1"/>
                  </w14:solidFill>
                </w14:textFill>
              </w:rPr>
              <w:t>项目运营期产生、收集、贮存、运输、利用、处置固体废物时，应当采取防扬散、防流失、防渗漏或者其他纺织污染环境的措施，不得擅自倾倒、堆放、丢弃、遗撒固体废物；</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③</w:t>
            </w:r>
            <w:r>
              <w:rPr>
                <w:rFonts w:ascii="Times New Roman" w:hAnsi="Times New Roman" w:cs="Times New Roman"/>
                <w:color w:val="000000" w:themeColor="text1"/>
                <w:sz w:val="24"/>
                <w:highlight w:val="none"/>
                <w14:textFill>
                  <w14:solidFill>
                    <w14:schemeClr w14:val="tx1"/>
                  </w14:solidFill>
                </w14:textFill>
              </w:rPr>
              <w:t>建设单位运营期应当建立健全工业固体废物</w:t>
            </w:r>
            <w:r>
              <w:rPr>
                <w:rFonts w:hint="eastAsia" w:ascii="Times New Roman" w:hAnsi="Times New Roman" w:cs="Times New Roman"/>
                <w:color w:val="000000" w:themeColor="text1"/>
                <w:sz w:val="24"/>
                <w:highlight w:val="none"/>
                <w14:textFill>
                  <w14:solidFill>
                    <w14:schemeClr w14:val="tx1"/>
                  </w14:solidFill>
                </w14:textFill>
              </w:rPr>
              <w:t>和危险废物</w:t>
            </w:r>
            <w:r>
              <w:rPr>
                <w:rFonts w:ascii="Times New Roman" w:hAnsi="Times New Roman" w:cs="Times New Roman"/>
                <w:color w:val="000000" w:themeColor="text1"/>
                <w:sz w:val="24"/>
                <w:highlight w:val="none"/>
                <w14:textFill>
                  <w14:solidFill>
                    <w14:schemeClr w14:val="tx1"/>
                  </w14:solidFill>
                </w14:textFill>
              </w:rPr>
              <w:t>产生、收集、贮存、运输、利用、处置全过程的污染环境纺织责任制度，建立工业固体废物</w:t>
            </w:r>
            <w:r>
              <w:rPr>
                <w:rFonts w:hint="eastAsia" w:ascii="Times New Roman" w:hAnsi="Times New Roman" w:cs="Times New Roman"/>
                <w:color w:val="000000" w:themeColor="text1"/>
                <w:sz w:val="24"/>
                <w:highlight w:val="none"/>
                <w14:textFill>
                  <w14:solidFill>
                    <w14:schemeClr w14:val="tx1"/>
                  </w14:solidFill>
                </w14:textFill>
              </w:rPr>
              <w:t>和危险废物</w:t>
            </w:r>
            <w:r>
              <w:rPr>
                <w:rFonts w:ascii="Times New Roman" w:hAnsi="Times New Roman" w:cs="Times New Roman"/>
                <w:color w:val="000000" w:themeColor="text1"/>
                <w:sz w:val="24"/>
                <w:highlight w:val="none"/>
                <w14:textFill>
                  <w14:solidFill>
                    <w14:schemeClr w14:val="tx1"/>
                  </w14:solidFill>
                </w14:textFill>
              </w:rPr>
              <w:t>管理台账，如实记录产生工业固体废物的种类、数量、流向、贮存、利用、处置等信息，实现工业固体废物</w:t>
            </w:r>
            <w:r>
              <w:rPr>
                <w:rFonts w:hint="eastAsia" w:ascii="Times New Roman" w:hAnsi="Times New Roman" w:cs="Times New Roman"/>
                <w:color w:val="000000" w:themeColor="text1"/>
                <w:sz w:val="24"/>
                <w:highlight w:val="none"/>
                <w14:textFill>
                  <w14:solidFill>
                    <w14:schemeClr w14:val="tx1"/>
                  </w14:solidFill>
                </w14:textFill>
              </w:rPr>
              <w:t>和危险废物</w:t>
            </w:r>
            <w:r>
              <w:rPr>
                <w:rFonts w:ascii="Times New Roman" w:hAnsi="Times New Roman" w:cs="Times New Roman"/>
                <w:color w:val="000000" w:themeColor="text1"/>
                <w:sz w:val="24"/>
                <w:highlight w:val="none"/>
                <w14:textFill>
                  <w14:solidFill>
                    <w14:schemeClr w14:val="tx1"/>
                  </w14:solidFill>
                </w14:textFill>
              </w:rPr>
              <w:t>可追溯，可查询，并采取防治工业固体废物</w:t>
            </w:r>
            <w:r>
              <w:rPr>
                <w:rFonts w:hint="eastAsia" w:ascii="Times New Roman" w:hAnsi="Times New Roman" w:cs="Times New Roman"/>
                <w:color w:val="000000" w:themeColor="text1"/>
                <w:sz w:val="24"/>
                <w:highlight w:val="none"/>
                <w14:textFill>
                  <w14:solidFill>
                    <w14:schemeClr w14:val="tx1"/>
                  </w14:solidFill>
                </w14:textFill>
              </w:rPr>
              <w:t>和危险废物</w:t>
            </w:r>
            <w:r>
              <w:rPr>
                <w:rFonts w:ascii="Times New Roman" w:hAnsi="Times New Roman" w:cs="Times New Roman"/>
                <w:color w:val="000000" w:themeColor="text1"/>
                <w:sz w:val="24"/>
                <w:highlight w:val="none"/>
                <w14:textFill>
                  <w14:solidFill>
                    <w14:schemeClr w14:val="tx1"/>
                  </w14:solidFill>
                </w14:textFill>
              </w:rPr>
              <w:t>污染环境的措施；</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④</w:t>
            </w:r>
            <w:r>
              <w:rPr>
                <w:rFonts w:ascii="Times New Roman" w:hAnsi="Times New Roman" w:cs="Times New Roman"/>
                <w:color w:val="000000" w:themeColor="text1"/>
                <w:sz w:val="24"/>
                <w:highlight w:val="none"/>
                <w14:textFill>
                  <w14:solidFill>
                    <w14:schemeClr w14:val="tx1"/>
                  </w14:solidFill>
                </w14:textFill>
              </w:rPr>
              <w:t>建设单位对收集、贮存、运输、处置一般工业固体废物</w:t>
            </w:r>
            <w:r>
              <w:rPr>
                <w:rFonts w:hint="eastAsia" w:ascii="Times New Roman" w:hAnsi="Times New Roman" w:cs="Times New Roman"/>
                <w:color w:val="000000" w:themeColor="text1"/>
                <w:sz w:val="24"/>
                <w:highlight w:val="none"/>
                <w14:textFill>
                  <w14:solidFill>
                    <w14:schemeClr w14:val="tx1"/>
                  </w14:solidFill>
                </w14:textFill>
              </w:rPr>
              <w:t>和危险废物</w:t>
            </w:r>
            <w:r>
              <w:rPr>
                <w:rFonts w:ascii="Times New Roman" w:hAnsi="Times New Roman" w:cs="Times New Roman"/>
                <w:color w:val="000000" w:themeColor="text1"/>
                <w:sz w:val="24"/>
                <w:highlight w:val="none"/>
                <w14:textFill>
                  <w14:solidFill>
                    <w14:schemeClr w14:val="tx1"/>
                  </w14:solidFill>
                </w14:textFill>
              </w:rPr>
              <w:t>的设施、设备和场所，应当加强管理和维护，保证其正常运行和使用。</w:t>
            </w:r>
          </w:p>
          <w:p>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⑤</w:t>
            </w:r>
            <w:r>
              <w:rPr>
                <w:rFonts w:ascii="Times New Roman" w:hAnsi="Times New Roman" w:eastAsia="宋体" w:cs="Times New Roman"/>
                <w:color w:val="000000" w:themeColor="text1"/>
                <w:sz w:val="24"/>
                <w:highlight w:val="none"/>
                <w:shd w:val="clear" w:color="auto" w:fill="FFFFFF"/>
                <w14:textFill>
                  <w14:solidFill>
                    <w14:schemeClr w14:val="tx1"/>
                  </w14:solidFill>
                </w14:textFill>
              </w:rPr>
              <w:t>严禁将生活垃圾与一般工业固体废物</w:t>
            </w:r>
            <w:r>
              <w:rPr>
                <w:rFonts w:hint="eastAsia" w:ascii="Times New Roman" w:hAnsi="Times New Roman" w:eastAsia="宋体" w:cs="Times New Roman"/>
                <w:color w:val="000000" w:themeColor="text1"/>
                <w:sz w:val="24"/>
                <w:highlight w:val="none"/>
                <w:shd w:val="clear" w:color="auto" w:fill="FFFFFF"/>
                <w14:textFill>
                  <w14:solidFill>
                    <w14:schemeClr w14:val="tx1"/>
                  </w14:solidFill>
                </w14:textFill>
              </w:rPr>
              <w:t>、危险废物</w:t>
            </w:r>
            <w:r>
              <w:rPr>
                <w:rFonts w:ascii="Times New Roman" w:hAnsi="Times New Roman" w:eastAsia="宋体" w:cs="Times New Roman"/>
                <w:color w:val="000000" w:themeColor="text1"/>
                <w:sz w:val="24"/>
                <w:highlight w:val="none"/>
                <w:shd w:val="clear" w:color="auto" w:fill="FFFFFF"/>
                <w14:textFill>
                  <w14:solidFill>
                    <w14:schemeClr w14:val="tx1"/>
                  </w14:solidFill>
                </w14:textFill>
              </w:rPr>
              <w:t>混合处置。</w:t>
            </w:r>
          </w:p>
          <w:p>
            <w:pPr>
              <w:spacing w:line="360" w:lineRule="auto"/>
              <w:ind w:firstLine="480" w:firstLineChars="200"/>
              <w:rPr>
                <w:rFonts w:ascii="Times New Roman" w:hAnsi="Times New Roman" w:eastAsia="宋体" w:cs="Times New Roman"/>
                <w:color w:val="000000" w:themeColor="text1"/>
                <w:sz w:val="24"/>
                <w:highlight w:val="none"/>
                <w:shd w:val="clear" w:color="auto" w:fill="FFFFFF"/>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⑥</w:t>
            </w:r>
            <w:r>
              <w:rPr>
                <w:rFonts w:ascii="Times New Roman" w:hAnsi="Times New Roman" w:cs="Times New Roman"/>
                <w:color w:val="000000" w:themeColor="text1"/>
                <w:sz w:val="24"/>
                <w:highlight w:val="none"/>
                <w14:textFill>
                  <w14:solidFill>
                    <w14:schemeClr w14:val="tx1"/>
                  </w14:solidFill>
                </w14:textFill>
              </w:rPr>
              <w:t>项目运营期间</w:t>
            </w:r>
            <w:r>
              <w:rPr>
                <w:rFonts w:ascii="Times New Roman" w:hAnsi="Times New Roman" w:eastAsia="宋体" w:cs="Times New Roman"/>
                <w:color w:val="000000" w:themeColor="text1"/>
                <w:sz w:val="24"/>
                <w:highlight w:val="none"/>
                <w:shd w:val="clear" w:color="auto" w:fill="FFFFFF"/>
                <w14:textFill>
                  <w14:solidFill>
                    <w14:schemeClr w14:val="tx1"/>
                  </w14:solidFill>
                </w14:textFill>
              </w:rPr>
              <w:t>需要终止生产的，应当事先对工业固体废物</w:t>
            </w:r>
            <w:r>
              <w:rPr>
                <w:rFonts w:hint="eastAsia" w:ascii="Times New Roman" w:hAnsi="Times New Roman" w:cs="Times New Roman"/>
                <w:color w:val="000000" w:themeColor="text1"/>
                <w:sz w:val="24"/>
                <w:highlight w:val="none"/>
                <w14:textFill>
                  <w14:solidFill>
                    <w14:schemeClr w14:val="tx1"/>
                  </w14:solidFill>
                </w14:textFill>
              </w:rPr>
              <w:t>和危险废物</w:t>
            </w:r>
            <w:r>
              <w:rPr>
                <w:rFonts w:ascii="Times New Roman" w:hAnsi="Times New Roman" w:eastAsia="宋体" w:cs="Times New Roman"/>
                <w:color w:val="000000" w:themeColor="text1"/>
                <w:sz w:val="24"/>
                <w:highlight w:val="none"/>
                <w:shd w:val="clear" w:color="auto" w:fill="FFFFFF"/>
                <w14:textFill>
                  <w14:solidFill>
                    <w14:schemeClr w14:val="tx1"/>
                  </w14:solidFill>
                </w14:textFill>
              </w:rPr>
              <w:t>的贮存、处置设施、场所采取污染防治措施，并对未处置的工业固体废物</w:t>
            </w:r>
            <w:r>
              <w:rPr>
                <w:rFonts w:hint="eastAsia" w:ascii="Times New Roman" w:hAnsi="Times New Roman" w:cs="Times New Roman"/>
                <w:color w:val="000000" w:themeColor="text1"/>
                <w:sz w:val="24"/>
                <w:highlight w:val="none"/>
                <w14:textFill>
                  <w14:solidFill>
                    <w14:schemeClr w14:val="tx1"/>
                  </w14:solidFill>
                </w14:textFill>
              </w:rPr>
              <w:t>和危险废物</w:t>
            </w:r>
            <w:r>
              <w:rPr>
                <w:rFonts w:ascii="Times New Roman" w:hAnsi="Times New Roman" w:eastAsia="宋体" w:cs="Times New Roman"/>
                <w:color w:val="000000" w:themeColor="text1"/>
                <w:sz w:val="24"/>
                <w:highlight w:val="none"/>
                <w:shd w:val="clear" w:color="auto" w:fill="FFFFFF"/>
                <w14:textFill>
                  <w14:solidFill>
                    <w14:schemeClr w14:val="tx1"/>
                  </w14:solidFill>
                </w14:textFill>
              </w:rPr>
              <w:t>作出妥善处置，防止污染环境。</w:t>
            </w:r>
          </w:p>
          <w:p>
            <w:pPr>
              <w:adjustRightInd w:val="0"/>
              <w:snapToGrid w:val="0"/>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采取上述保护措施后，固体废物均得到妥善处置。</w:t>
            </w:r>
          </w:p>
          <w:p>
            <w:pPr>
              <w:adjustRightInd w:val="0"/>
              <w:snapToGrid w:val="0"/>
              <w:spacing w:line="360" w:lineRule="auto"/>
              <w:ind w:firstLine="480" w:firstLineChars="200"/>
              <w:rPr>
                <w:rFonts w:ascii="Times New Roman" w:hAnsi="Times New Roman" w:eastAsia="Calibri" w:cs="Times New Roman"/>
                <w:b/>
                <w:bCs/>
                <w:color w:val="000000" w:themeColor="text1"/>
                <w:sz w:val="24"/>
                <w:highlight w:val="none"/>
                <w14:textFill>
                  <w14:solidFill>
                    <w14:schemeClr w14:val="tx1"/>
                  </w14:solidFill>
                </w14:textFill>
              </w:rPr>
            </w:pPr>
            <w:r>
              <w:rPr>
                <w:rFonts w:hint="eastAsia" w:ascii="Times New Roman" w:hAnsi="Times New Roman" w:eastAsia="Calibri" w:cs="Times New Roman"/>
                <w:b/>
                <w:bCs/>
                <w:color w:val="000000" w:themeColor="text1"/>
                <w:sz w:val="24"/>
                <w:highlight w:val="none"/>
                <w14:textFill>
                  <w14:solidFill>
                    <w14:schemeClr w14:val="tx1"/>
                  </w14:solidFill>
                </w14:textFill>
              </w:rPr>
              <w:t>5、地下水</w:t>
            </w:r>
          </w:p>
          <w:p>
            <w:pPr>
              <w:adjustRightInd w:val="0"/>
              <w:snapToGrid w:val="0"/>
              <w:spacing w:line="360" w:lineRule="auto"/>
              <w:ind w:firstLine="480" w:firstLineChars="2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项目无废水产生，不存在地下水污染途径，企业按要求做好分区防渗措施后，项目建设对地下水环境影响可接受。</w:t>
            </w:r>
          </w:p>
          <w:p>
            <w:pPr>
              <w:numPr>
                <w:ilvl w:val="0"/>
                <w:numId w:val="12"/>
              </w:numPr>
              <w:adjustRightInd w:val="0"/>
              <w:snapToGrid w:val="0"/>
              <w:spacing w:line="360" w:lineRule="auto"/>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土壤</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项目不存在土壤污染途径，企业按要求做好分区防渗措施后，项目建设对土壤环境影响可接受。</w:t>
            </w:r>
          </w:p>
          <w:p>
            <w:pPr>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7、生态</w:t>
            </w:r>
          </w:p>
          <w:p>
            <w:pPr>
              <w:pStyle w:val="16"/>
              <w:spacing w:after="0" w:line="360" w:lineRule="auto"/>
              <w:ind w:firstLine="480" w:firstLineChars="200"/>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项目占地范围内无生态环境保护目标，根据《建设项目环境影响报告表编制技术指南（污染影响类）（试行）》可不开展生态环境影响评价。</w:t>
            </w:r>
          </w:p>
          <w:p>
            <w:pPr>
              <w:adjustRightInd w:val="0"/>
              <w:snapToGrid w:val="0"/>
              <w:spacing w:line="360" w:lineRule="auto"/>
              <w:ind w:firstLine="482" w:firstLineChars="200"/>
              <w:rPr>
                <w:rFonts w:ascii="Times New Roman" w:hAnsi="Times New Roman" w:cs="Times New Roman"/>
                <w:b/>
                <w:bCs/>
                <w:color w:val="000000" w:themeColor="text1"/>
                <w:sz w:val="24"/>
                <w:highlight w:val="none"/>
                <w:shd w:val="clear" w:color="auto" w:fill="FFFFFF"/>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8</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ascii="Times New Roman" w:hAnsi="Times New Roman" w:cs="Times New Roman"/>
                <w:b/>
                <w:bCs/>
                <w:color w:val="000000" w:themeColor="text1"/>
                <w:sz w:val="24"/>
                <w:highlight w:val="none"/>
                <w:shd w:val="clear" w:color="auto" w:fill="FFFFFF"/>
                <w14:textFill>
                  <w14:solidFill>
                    <w14:schemeClr w14:val="tx1"/>
                  </w14:solidFill>
                </w14:textFill>
              </w:rPr>
              <w:t>环境风险分析</w:t>
            </w:r>
          </w:p>
          <w:p>
            <w:pPr>
              <w:adjustRightInd w:val="0"/>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本项目不新增有毒有害和易燃易爆等风险物质，原</w:t>
            </w:r>
            <w:r>
              <w:rPr>
                <w:rFonts w:ascii="Times New Roman" w:hAnsi="Times New Roman" w:cs="Times New Roman"/>
                <w:color w:val="000000" w:themeColor="text1"/>
                <w:sz w:val="24"/>
                <w:highlight w:val="none"/>
                <w14:textFill>
                  <w14:solidFill>
                    <w14:schemeClr w14:val="tx1"/>
                  </w14:solidFill>
                </w14:textFill>
              </w:rPr>
              <w:t>项目存在一定潜在风险，但通过采取风险防范措施，可有效避免和减少项目环境风险对周边大气环境、水环境、土壤环境的影响。在落实各项风险管理和环境风险防范措施之后，项目环境风险可防控。</w:t>
            </w:r>
          </w:p>
          <w:p>
            <w:pPr>
              <w:adjustRightInd w:val="0"/>
              <w:snapToGrid w:val="0"/>
              <w:spacing w:line="360" w:lineRule="auto"/>
              <w:ind w:firstLine="482" w:firstLineChars="200"/>
              <w:rPr>
                <w:rFonts w:ascii="Times New Roman" w:hAnsi="Times New Roman" w:cs="Times New Roman"/>
                <w:b/>
                <w:bCs/>
                <w:color w:val="000000" w:themeColor="text1"/>
                <w:sz w:val="24"/>
                <w:highlight w:val="none"/>
                <w:shd w:val="clear" w:color="auto" w:fill="FFFFFF"/>
                <w14:textFill>
                  <w14:solidFill>
                    <w14:schemeClr w14:val="tx1"/>
                  </w14:solidFill>
                </w14:textFill>
              </w:rPr>
            </w:pPr>
            <w:r>
              <w:rPr>
                <w:rFonts w:hint="eastAsia" w:ascii="Times New Roman" w:hAnsi="Times New Roman" w:cs="Times New Roman"/>
                <w:b/>
                <w:bCs/>
                <w:color w:val="000000" w:themeColor="text1"/>
                <w:sz w:val="24"/>
                <w:highlight w:val="none"/>
                <w:shd w:val="clear" w:color="auto" w:fill="FFFFFF"/>
                <w14:textFill>
                  <w14:solidFill>
                    <w14:schemeClr w14:val="tx1"/>
                  </w14:solidFill>
                </w14:textFill>
              </w:rPr>
              <w:t>9、电磁辐射</w:t>
            </w:r>
          </w:p>
          <w:p>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本项目不涉及电磁辐射。</w:t>
            </w:r>
          </w:p>
          <w:p>
            <w:pPr>
              <w:adjustRightInd w:val="0"/>
              <w:snapToGrid w:val="0"/>
              <w:spacing w:line="360" w:lineRule="auto"/>
              <w:ind w:firstLine="480" w:firstLineChars="200"/>
              <w:rPr>
                <w:rFonts w:hint="default"/>
                <w:color w:val="000000" w:themeColor="text1"/>
                <w:sz w:val="24"/>
                <w:highlight w:val="none"/>
                <w:lang w:val="en-US" w:eastAsia="zh-CN"/>
                <w14:textFill>
                  <w14:solidFill>
                    <w14:schemeClr w14:val="tx1"/>
                  </w14:solidFill>
                </w14:textFill>
              </w:rPr>
            </w:pPr>
          </w:p>
        </w:tc>
      </w:tr>
    </w:tbl>
    <w:p>
      <w:pPr>
        <w:spacing w:line="360" w:lineRule="auto"/>
        <w:rPr>
          <w:rFonts w:ascii="宋体" w:hAnsi="Times New Roman" w:eastAsia="宋体" w:cs="宋体"/>
          <w:b/>
          <w:color w:val="000000" w:themeColor="text1"/>
          <w:sz w:val="28"/>
          <w:szCs w:val="28"/>
          <w:highlight w:val="none"/>
          <w:lang w:bidi="ar"/>
          <w14:textFill>
            <w14:solidFill>
              <w14:schemeClr w14:val="tx1"/>
            </w14:solidFill>
          </w14:textFill>
        </w:rPr>
        <w:sectPr>
          <w:pgSz w:w="11915" w:h="16840"/>
          <w:pgMar w:top="2127" w:right="1531" w:bottom="1702" w:left="1531" w:header="851" w:footer="851" w:gutter="0"/>
          <w:cols w:space="425" w:num="1"/>
          <w:docGrid w:type="lines" w:linePitch="312" w:charSpace="0"/>
        </w:sectPr>
      </w:pPr>
    </w:p>
    <w:p>
      <w:pPr>
        <w:pStyle w:val="17"/>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五、</w:t>
      </w:r>
      <w:bookmarkStart w:id="22" w:name="_Hlk54167917"/>
      <w:r>
        <w:rPr>
          <w:rFonts w:ascii="黑体" w:eastAsia="黑体" w:cs="黑体"/>
          <w:snapToGrid w:val="0"/>
          <w:color w:val="000000" w:themeColor="text1"/>
          <w:sz w:val="30"/>
          <w:szCs w:val="30"/>
          <w:highlight w:val="none"/>
          <w14:textFill>
            <w14:solidFill>
              <w14:schemeClr w14:val="tx1"/>
            </w14:solidFill>
          </w14:textFill>
        </w:rPr>
        <w:t>环境保护措施监督检查清单</w:t>
      </w:r>
      <w:bookmarkEnd w:id="22"/>
    </w:p>
    <w:tbl>
      <w:tblPr>
        <w:tblStyle w:val="22"/>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238"/>
        <w:gridCol w:w="1155"/>
        <w:gridCol w:w="2612"/>
        <w:gridCol w:w="3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79" w:type="pct"/>
            <w:tcBorders>
              <w:top w:val="single" w:color="auto" w:sz="8" w:space="0"/>
              <w:left w:val="single" w:color="auto" w:sz="8" w:space="0"/>
              <w:bottom w:val="single" w:color="auto" w:sz="4" w:space="0"/>
              <w:right w:val="single" w:color="auto" w:sz="4" w:space="0"/>
              <w:tl2br w:val="single" w:color="auto" w:sz="4" w:space="0"/>
            </w:tcBorders>
            <w:shd w:val="clear" w:color="auto" w:fill="auto"/>
          </w:tcPr>
          <w:p>
            <w:pPr>
              <w:adjustRightInd w:val="0"/>
              <w:snapToGrid w:val="0"/>
              <w:jc w:val="right"/>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lang w:bidi="ar"/>
                <w14:textFill>
                  <w14:solidFill>
                    <w14:schemeClr w14:val="tx1"/>
                  </w14:solidFill>
                </w14:textFill>
              </w:rPr>
              <w:t>内容</w:t>
            </w:r>
          </w:p>
          <w:p>
            <w:pPr>
              <w:adjustRightInd w:val="0"/>
              <w:snapToGrid w:val="0"/>
              <w:rPr>
                <w:rFonts w:ascii="Times New Roman" w:hAnsi="Times New Roman" w:eastAsia="宋体" w:cs="Times New Roman"/>
                <w:b/>
                <w:bCs/>
                <w:color w:val="000000" w:themeColor="text1"/>
                <w:szCs w:val="21"/>
                <w:highlight w:val="none"/>
                <w:lang w:bidi="ar"/>
                <w14:textFill>
                  <w14:solidFill>
                    <w14:schemeClr w14:val="tx1"/>
                  </w14:solidFill>
                </w14:textFill>
              </w:rPr>
            </w:pPr>
          </w:p>
          <w:p>
            <w:pPr>
              <w:adjustRightInd w:val="0"/>
              <w:snapToGrid w:val="0"/>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lang w:bidi="ar"/>
                <w14:textFill>
                  <w14:solidFill>
                    <w14:schemeClr w14:val="tx1"/>
                  </w14:solidFill>
                </w14:textFill>
              </w:rPr>
              <w:t>要素</w:t>
            </w:r>
          </w:p>
        </w:tc>
        <w:tc>
          <w:tcPr>
            <w:tcW w:w="683" w:type="pct"/>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bCs/>
                <w:color w:val="000000" w:themeColor="text1"/>
                <w:szCs w:val="21"/>
                <w:highlight w:val="none"/>
                <w:lang w:bidi="ar"/>
                <w14:textFill>
                  <w14:solidFill>
                    <w14:schemeClr w14:val="tx1"/>
                  </w14:solidFill>
                </w14:textFill>
              </w:rPr>
            </w:pPr>
            <w:r>
              <w:rPr>
                <w:rFonts w:ascii="Times New Roman" w:hAnsi="Times New Roman" w:eastAsia="宋体" w:cs="Times New Roman"/>
                <w:b/>
                <w:bCs/>
                <w:color w:val="000000" w:themeColor="text1"/>
                <w:szCs w:val="21"/>
                <w:highlight w:val="none"/>
                <w:lang w:bidi="ar"/>
                <w14:textFill>
                  <w14:solidFill>
                    <w14:schemeClr w14:val="tx1"/>
                  </w14:solidFill>
                </w14:textFill>
              </w:rPr>
              <w:t>排放口(编号、名称)/污染源</w:t>
            </w:r>
          </w:p>
        </w:tc>
        <w:tc>
          <w:tcPr>
            <w:tcW w:w="637" w:type="pct"/>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lang w:bidi="ar"/>
                <w14:textFill>
                  <w14:solidFill>
                    <w14:schemeClr w14:val="tx1"/>
                  </w14:solidFill>
                </w14:textFill>
              </w:rPr>
              <w:t>污染物项目</w:t>
            </w:r>
          </w:p>
        </w:tc>
        <w:tc>
          <w:tcPr>
            <w:tcW w:w="1442" w:type="pct"/>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lang w:bidi="ar"/>
                <w14:textFill>
                  <w14:solidFill>
                    <w14:schemeClr w14:val="tx1"/>
                  </w14:solidFill>
                </w14:textFill>
              </w:rPr>
              <w:t>环境保护措施</w:t>
            </w:r>
          </w:p>
        </w:tc>
        <w:tc>
          <w:tcPr>
            <w:tcW w:w="1656" w:type="pct"/>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lang w:bidi="ar"/>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579" w:type="pct"/>
            <w:tcBorders>
              <w:top w:val="single" w:color="auto" w:sz="4" w:space="0"/>
              <w:left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lang w:bidi="ar"/>
                <w14:textFill>
                  <w14:solidFill>
                    <w14:schemeClr w14:val="tx1"/>
                  </w14:solidFill>
                </w14:textFill>
              </w:rPr>
              <w:t>大气环境</w:t>
            </w:r>
          </w:p>
        </w:tc>
        <w:tc>
          <w:tcPr>
            <w:tcW w:w="683" w:type="pc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cs="Times New Roman"/>
                <w:bCs/>
                <w:color w:val="000000" w:themeColor="text1"/>
                <w:sz w:val="21"/>
                <w:szCs w:val="21"/>
                <w:highlight w:val="none"/>
                <w14:textFill>
                  <w14:solidFill>
                    <w14:schemeClr w14:val="tx1"/>
                  </w14:solidFill>
                </w14:textFill>
              </w:rPr>
              <w:t>热能中心、湿电除尘排气筒出口</w:t>
            </w:r>
          </w:p>
        </w:tc>
        <w:tc>
          <w:tcPr>
            <w:tcW w:w="637" w:type="pc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14:textFill>
                  <w14:solidFill>
                    <w14:schemeClr w14:val="tx1"/>
                  </w14:solidFill>
                </w14:textFill>
              </w:rPr>
              <w:t>颗粒物、</w:t>
            </w:r>
            <w:r>
              <w:rPr>
                <w:rFonts w:ascii="Times New Roman" w:hAnsi="Times New Roman" w:cs="Times New Roman"/>
                <w:color w:val="000000" w:themeColor="text1"/>
                <w:kern w:val="0"/>
                <w:szCs w:val="21"/>
                <w:highlight w:val="none"/>
                <w14:textFill>
                  <w14:solidFill>
                    <w14:schemeClr w14:val="tx1"/>
                  </w14:solidFill>
                </w14:textFill>
              </w:rPr>
              <w:t>SO</w:t>
            </w:r>
            <w:r>
              <w:rPr>
                <w:rFonts w:ascii="Times New Roman" w:hAnsi="Times New Roman" w:cs="Times New Roman"/>
                <w:color w:val="000000" w:themeColor="text1"/>
                <w:kern w:val="0"/>
                <w:szCs w:val="21"/>
                <w:highlight w:val="none"/>
                <w:vertAlign w:val="subscript"/>
                <w14:textFill>
                  <w14:solidFill>
                    <w14:schemeClr w14:val="tx1"/>
                  </w14:solidFill>
                </w14:textFill>
              </w:rPr>
              <w:t>2</w:t>
            </w:r>
            <w:r>
              <w:rPr>
                <w:rFonts w:hint="eastAsia" w:ascii="Times New Roman" w:hAnsi="Times New Roman" w:cs="Times New Roman"/>
                <w:color w:val="000000" w:themeColor="text1"/>
                <w:kern w:val="0"/>
                <w:szCs w:val="21"/>
                <w:highlight w:val="none"/>
                <w14:textFill>
                  <w14:solidFill>
                    <w14:schemeClr w14:val="tx1"/>
                  </w14:solidFill>
                </w14:textFill>
              </w:rPr>
              <w:t>、</w:t>
            </w:r>
            <w:r>
              <w:rPr>
                <w:rFonts w:ascii="Times New Roman" w:hAnsi="Times New Roman" w:cs="Times New Roman"/>
                <w:color w:val="000000" w:themeColor="text1"/>
                <w:kern w:val="0"/>
                <w:szCs w:val="21"/>
                <w:highlight w:val="none"/>
                <w14:textFill>
                  <w14:solidFill>
                    <w14:schemeClr w14:val="tx1"/>
                  </w14:solidFill>
                </w14:textFill>
              </w:rPr>
              <w:t>NO</w:t>
            </w:r>
            <w:r>
              <w:rPr>
                <w:rFonts w:ascii="Times New Roman" w:hAnsi="Times New Roman" w:cs="Times New Roman"/>
                <w:color w:val="000000" w:themeColor="text1"/>
                <w:kern w:val="0"/>
                <w:szCs w:val="21"/>
                <w:highlight w:val="none"/>
                <w:vertAlign w:val="subscript"/>
                <w14:textFill>
                  <w14:solidFill>
                    <w14:schemeClr w14:val="tx1"/>
                  </w14:solidFill>
                </w14:textFill>
              </w:rPr>
              <w:t>X</w:t>
            </w:r>
          </w:p>
        </w:tc>
        <w:tc>
          <w:tcPr>
            <w:tcW w:w="1442" w:type="pct"/>
            <w:tcBorders>
              <w:top w:val="single" w:color="auto" w:sz="4" w:space="0"/>
              <w:left w:val="single" w:color="auto" w:sz="4" w:space="0"/>
              <w:right w:val="single" w:color="auto" w:sz="4" w:space="0"/>
            </w:tcBorders>
            <w:shd w:val="clear" w:color="auto" w:fill="auto"/>
            <w:vAlign w:val="center"/>
          </w:tcPr>
          <w:p>
            <w:pPr>
              <w:pStyle w:val="5"/>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热能中心产生的烟气经脱硝、除尘净化处理后，净化后的烟气作为洁净烟气用于干燥湿刨花，最终干燥机尾气经旋风除尘器和湿式静电除尘系统处理后通过1根55m高排气筒（3#排气筒）排放</w:t>
            </w:r>
          </w:p>
        </w:tc>
        <w:tc>
          <w:tcPr>
            <w:tcW w:w="1656" w:type="pct"/>
            <w:tcBorders>
              <w:top w:val="single" w:color="auto" w:sz="4" w:space="0"/>
              <w:left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颗粒物、SO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Cs w:val="21"/>
                <w:highlight w:val="none"/>
                <w14:textFill>
                  <w14:solidFill>
                    <w14:schemeClr w14:val="tx1"/>
                  </w14:solidFill>
                </w14:textFill>
              </w:rPr>
              <w:t>、NO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X</w:t>
            </w:r>
            <w:r>
              <w:rPr>
                <w:rFonts w:hint="eastAsia" w:ascii="Times New Roman" w:hAnsi="Times New Roman" w:eastAsia="宋体" w:cs="Times New Roman"/>
                <w:color w:val="000000" w:themeColor="text1"/>
                <w:szCs w:val="21"/>
                <w:highlight w:val="none"/>
                <w14:textFill>
                  <w14:solidFill>
                    <w14:schemeClr w14:val="tx1"/>
                  </w14:solidFill>
                </w14:textFill>
              </w:rPr>
              <w:t>均满足</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《承德市工业炉窑综合治理实施方案》 及《大气污染物综合排放标准》 (GB16297-1996)表2新污染源大气污染物排放限值要求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79" w:type="pct"/>
            <w:tcBorders>
              <w:top w:val="single" w:color="auto" w:sz="4" w:space="0"/>
              <w:left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lang w:bidi="ar"/>
                <w14:textFill>
                  <w14:solidFill>
                    <w14:schemeClr w14:val="tx1"/>
                  </w14:solidFill>
                </w14:textFill>
              </w:rPr>
            </w:pPr>
            <w:r>
              <w:rPr>
                <w:rFonts w:ascii="Times New Roman" w:hAnsi="Times New Roman" w:eastAsia="宋体" w:cs="Times New Roman"/>
                <w:color w:val="000000" w:themeColor="text1"/>
                <w:szCs w:val="21"/>
                <w:highlight w:val="none"/>
                <w:lang w:bidi="ar"/>
                <w14:textFill>
                  <w14:solidFill>
                    <w14:schemeClr w14:val="tx1"/>
                  </w14:solidFill>
                </w14:textFill>
              </w:rPr>
              <w:t>地表水环境</w:t>
            </w:r>
          </w:p>
        </w:tc>
        <w:tc>
          <w:tcPr>
            <w:tcW w:w="683" w:type="pc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w:t>
            </w:r>
          </w:p>
        </w:tc>
        <w:tc>
          <w:tcPr>
            <w:tcW w:w="1442" w:type="pc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Cs/>
                <w:color w:val="000000" w:themeColor="text1"/>
                <w:spacing w:val="9"/>
                <w:szCs w:val="21"/>
                <w:highlight w:val="none"/>
                <w14:textFill>
                  <w14:solidFill>
                    <w14:schemeClr w14:val="tx1"/>
                  </w14:solidFill>
                </w14:textFill>
              </w:rPr>
              <w:t>/</w:t>
            </w:r>
          </w:p>
        </w:tc>
        <w:tc>
          <w:tcPr>
            <w:tcW w:w="1656" w:type="pct"/>
            <w:tcBorders>
              <w:top w:val="single" w:color="auto" w:sz="4" w:space="0"/>
              <w:left w:val="single" w:color="auto" w:sz="4" w:space="0"/>
              <w:right w:val="single" w:color="auto" w:sz="8" w:space="0"/>
            </w:tcBorders>
            <w:shd w:val="clear" w:color="auto" w:fill="auto"/>
            <w:vAlign w:val="center"/>
          </w:tcPr>
          <w:p>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579" w:type="pct"/>
            <w:tcBorders>
              <w:top w:val="single" w:color="auto" w:sz="4" w:space="0"/>
              <w:left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lang w:bidi="ar"/>
                <w14:textFill>
                  <w14:solidFill>
                    <w14:schemeClr w14:val="tx1"/>
                  </w14:solidFill>
                </w14:textFill>
              </w:rPr>
              <w:t>声环境</w:t>
            </w:r>
          </w:p>
        </w:tc>
        <w:tc>
          <w:tcPr>
            <w:tcW w:w="683" w:type="pc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21"/>
                <w:highlight w:val="none"/>
                <w:lang w:val="en-US" w:eastAsia="zh-CN"/>
                <w14:textFill>
                  <w14:solidFill>
                    <w14:schemeClr w14:val="tx1"/>
                  </w14:solidFill>
                </w14:textFill>
              </w:rPr>
              <w:t>鼓风机</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21"/>
                <w:highlight w:val="none"/>
                <w14:textFill>
                  <w14:solidFill>
                    <w14:schemeClr w14:val="tx1"/>
                  </w14:solidFill>
                </w14:textFill>
              </w:rPr>
              <w:t>噪声</w:t>
            </w:r>
          </w:p>
        </w:tc>
        <w:tc>
          <w:tcPr>
            <w:tcW w:w="14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7"/>
              <w:rPr>
                <w:rFonts w:ascii="Times New Roman" w:hAnsi="Times New Roman" w:eastAsia="宋体" w:cs="Times New Roman"/>
                <w:color w:val="000000" w:themeColor="text1"/>
                <w:kern w:val="2"/>
                <w:szCs w:val="21"/>
                <w:highlight w:val="none"/>
                <w14:textFill>
                  <w14:solidFill>
                    <w14:schemeClr w14:val="tx1"/>
                  </w14:solidFill>
                </w14:textFill>
              </w:rPr>
            </w:pPr>
            <w:r>
              <w:rPr>
                <w:rFonts w:ascii="Times New Roman" w:hAnsi="Times New Roman" w:eastAsia="宋体" w:cs="Times New Roman"/>
                <w:color w:val="000000" w:themeColor="text1"/>
                <w:kern w:val="2"/>
                <w:szCs w:val="21"/>
                <w:highlight w:val="none"/>
                <w14:textFill>
                  <w14:solidFill>
                    <w14:schemeClr w14:val="tx1"/>
                  </w14:solidFill>
                </w14:textFill>
              </w:rPr>
              <w:t>选用低噪声设备，设备基础减振，定期维护保养等</w:t>
            </w:r>
          </w:p>
        </w:tc>
        <w:tc>
          <w:tcPr>
            <w:tcW w:w="1656" w:type="pct"/>
            <w:tcBorders>
              <w:top w:val="single" w:color="auto" w:sz="4" w:space="0"/>
              <w:left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东南</w:t>
            </w:r>
            <w:r>
              <w:rPr>
                <w:rFonts w:hint="eastAsia" w:ascii="Times New Roman" w:hAnsi="Times New Roman" w:eastAsia="宋体" w:cs="Times New Roman"/>
                <w:color w:val="000000" w:themeColor="text1"/>
                <w:szCs w:val="21"/>
                <w:highlight w:val="none"/>
                <w14:textFill>
                  <w14:solidFill>
                    <w14:schemeClr w14:val="tx1"/>
                  </w14:solidFill>
                </w14:textFill>
              </w:rPr>
              <w:t>厂界执行《工业企业厂界环境噪声排放标准》（GB12348-2008）中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类标准</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西厂界</w:t>
            </w:r>
            <w:r>
              <w:rPr>
                <w:rFonts w:hint="eastAsia" w:ascii="Times New Roman" w:hAnsi="Times New Roman" w:eastAsia="宋体" w:cs="Times New Roman"/>
                <w:color w:val="000000" w:themeColor="text1"/>
                <w:szCs w:val="21"/>
                <w:highlight w:val="none"/>
                <w14:textFill>
                  <w14:solidFill>
                    <w14:schemeClr w14:val="tx1"/>
                  </w14:solidFill>
                </w14:textFill>
              </w:rPr>
              <w:t>执行《工业企业厂界环境噪声排放标准》（GB12348-2008）中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14:textFill>
                  <w14:solidFill>
                    <w14:schemeClr w14:val="tx1"/>
                  </w14:solidFill>
                </w14:textFill>
              </w:rPr>
              <w:t>类标准</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北厂界</w:t>
            </w:r>
            <w:r>
              <w:rPr>
                <w:rFonts w:hint="eastAsia" w:ascii="Times New Roman" w:hAnsi="Times New Roman" w:eastAsia="宋体" w:cs="Times New Roman"/>
                <w:color w:val="000000" w:themeColor="text1"/>
                <w:szCs w:val="21"/>
                <w:highlight w:val="none"/>
                <w14:textFill>
                  <w14:solidFill>
                    <w14:schemeClr w14:val="tx1"/>
                  </w14:solidFill>
                </w14:textFill>
              </w:rPr>
              <w:t>执行《工业企业厂界环境噪声排放标准》（GB12348-2008）中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Cs w:val="21"/>
                <w:highlight w:val="none"/>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79" w:type="pc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lang w:bidi="ar"/>
                <w14:textFill>
                  <w14:solidFill>
                    <w14:schemeClr w14:val="tx1"/>
                  </w14:solidFill>
                </w14:textFill>
              </w:rPr>
              <w:t>固体废物</w:t>
            </w:r>
          </w:p>
        </w:tc>
        <w:tc>
          <w:tcPr>
            <w:tcW w:w="4420"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除尘灰送往热能中心作燃料，热能中心炉渣运至有机肥厂作为原料使用</w:t>
            </w:r>
            <w:r>
              <w:rPr>
                <w:rFonts w:hint="eastAsia"/>
                <w:color w:val="000000" w:themeColor="text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9" w:type="pc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lang w:bidi="ar"/>
                <w14:textFill>
                  <w14:solidFill>
                    <w14:schemeClr w14:val="tx1"/>
                  </w14:solidFill>
                </w14:textFill>
              </w:rPr>
            </w:pPr>
            <w:r>
              <w:rPr>
                <w:rFonts w:ascii="Times New Roman" w:hAnsi="Times New Roman" w:eastAsia="宋体" w:cs="Times New Roman"/>
                <w:color w:val="000000" w:themeColor="text1"/>
                <w:szCs w:val="21"/>
                <w:highlight w:val="none"/>
                <w:lang w:bidi="ar"/>
                <w14:textFill>
                  <w14:solidFill>
                    <w14:schemeClr w14:val="tx1"/>
                  </w14:solidFill>
                </w14:textFill>
              </w:rPr>
              <w:t>土壤及地下水污染防治措施</w:t>
            </w:r>
          </w:p>
        </w:tc>
        <w:tc>
          <w:tcPr>
            <w:tcW w:w="4420"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79" w:type="pc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lang w:bidi="ar"/>
                <w14:textFill>
                  <w14:solidFill>
                    <w14:schemeClr w14:val="tx1"/>
                  </w14:solidFill>
                </w14:textFill>
              </w:rPr>
            </w:pPr>
            <w:r>
              <w:rPr>
                <w:rFonts w:hint="eastAsia" w:ascii="Times New Roman" w:hAnsi="Times New Roman" w:eastAsia="宋体" w:cs="Times New Roman"/>
                <w:color w:val="000000" w:themeColor="text1"/>
                <w:szCs w:val="21"/>
                <w:highlight w:val="none"/>
                <w:lang w:bidi="ar"/>
                <w14:textFill>
                  <w14:solidFill>
                    <w14:schemeClr w14:val="tx1"/>
                  </w14:solidFill>
                </w14:textFill>
              </w:rPr>
              <w:t>风险</w:t>
            </w:r>
          </w:p>
        </w:tc>
        <w:tc>
          <w:tcPr>
            <w:tcW w:w="4420"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建设单位</w:t>
            </w:r>
            <w:r>
              <w:rPr>
                <w:rFonts w:ascii="Times New Roman" w:hAnsi="Times New Roman" w:cs="Times New Roman"/>
                <w:color w:val="000000" w:themeColor="text1"/>
                <w:szCs w:val="21"/>
                <w:highlight w:val="none"/>
                <w14:textFill>
                  <w14:solidFill>
                    <w14:schemeClr w14:val="tx1"/>
                  </w14:solidFill>
                </w14:textFill>
              </w:rPr>
              <w:t>在加强厂区风险管理、</w:t>
            </w:r>
            <w:r>
              <w:rPr>
                <w:rFonts w:hint="eastAsia" w:ascii="Times New Roman" w:hAnsi="Times New Roman" w:cs="Times New Roman"/>
                <w:color w:val="000000" w:themeColor="text1"/>
                <w:szCs w:val="21"/>
                <w:highlight w:val="none"/>
                <w14:textFill>
                  <w14:solidFill>
                    <w14:schemeClr w14:val="tx1"/>
                  </w14:solidFill>
                </w14:textFill>
              </w:rPr>
              <w:t>采取有效防范措施</w:t>
            </w:r>
            <w:r>
              <w:rPr>
                <w:rFonts w:ascii="Times New Roman" w:hAnsi="Times New Roman" w:cs="Times New Roman"/>
                <w:color w:val="000000" w:themeColor="text1"/>
                <w:szCs w:val="21"/>
                <w:highlight w:val="none"/>
                <w14:textFill>
                  <w14:solidFill>
                    <w14:schemeClr w14:val="tx1"/>
                  </w14:solidFill>
                </w14:textFill>
              </w:rPr>
              <w:t>的基础上，事故发生概率较低，本项目环境风险可</w:t>
            </w:r>
            <w:r>
              <w:rPr>
                <w:rFonts w:hint="eastAsia" w:ascii="Times New Roman" w:hAnsi="Times New Roman" w:cs="Times New Roman"/>
                <w:color w:val="000000" w:themeColor="text1"/>
                <w:szCs w:val="21"/>
                <w:highlight w:val="none"/>
                <w14:textFill>
                  <w14:solidFill>
                    <w14:schemeClr w14:val="tx1"/>
                  </w14:solidFill>
                </w14:textFill>
              </w:rPr>
              <w:t>防控。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579" w:type="pct"/>
            <w:tcBorders>
              <w:top w:val="single" w:color="auto" w:sz="4" w:space="0"/>
              <w:left w:val="single" w:color="auto" w:sz="8"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themeColor="text1"/>
                <w:kern w:val="21"/>
                <w:szCs w:val="21"/>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其他环境管理要求</w:t>
            </w:r>
          </w:p>
        </w:tc>
        <w:tc>
          <w:tcPr>
            <w:tcW w:w="4420"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w:t>
            </w:r>
          </w:p>
        </w:tc>
      </w:tr>
    </w:tbl>
    <w:p>
      <w:pPr>
        <w:pStyle w:val="17"/>
        <w:jc w:val="center"/>
        <w:outlineLvl w:val="0"/>
        <w:rPr>
          <w:rFonts w:hint="default" w:ascii="黑体" w:eastAsia="黑体" w:cs="黑体"/>
          <w:color w:val="000000" w:themeColor="text1"/>
          <w:sz w:val="30"/>
          <w:szCs w:val="30"/>
          <w:highlight w:val="none"/>
          <w14:textFill>
            <w14:solidFill>
              <w14:schemeClr w14:val="tx1"/>
            </w14:solidFill>
          </w14:textFill>
        </w:rPr>
      </w:pPr>
      <w:r>
        <w:rPr>
          <w:snapToGrid w:val="0"/>
          <w:color w:val="000000" w:themeColor="text1"/>
          <w:highlight w:val="none"/>
          <w:lang w:bidi="ar"/>
          <w14:textFill>
            <w14:solidFill>
              <w14:schemeClr w14:val="tx1"/>
            </w14:solidFill>
          </w14:textFill>
        </w:rPr>
        <w:br w:type="page"/>
      </w:r>
      <w:r>
        <w:rPr>
          <w:rFonts w:ascii="黑体" w:eastAsia="黑体" w:cs="黑体"/>
          <w:snapToGrid w:val="0"/>
          <w:color w:val="000000" w:themeColor="text1"/>
          <w:sz w:val="30"/>
          <w:szCs w:val="30"/>
          <w:highlight w:val="none"/>
          <w14:textFill>
            <w14:solidFill>
              <w14:schemeClr w14:val="tx1"/>
            </w14:solidFill>
          </w14:textFill>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tcPr>
          <w:p>
            <w:pPr>
              <w:snapToGrid w:val="0"/>
              <w:spacing w:before="156" w:beforeLines="50" w:line="360" w:lineRule="auto"/>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结论：</w:t>
            </w:r>
          </w:p>
          <w:p>
            <w:pPr>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从环境保护的角度分析，项目具有环境可行性。</w:t>
            </w: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napToGrid w:val="0"/>
              <w:spacing w:line="360" w:lineRule="auto"/>
              <w:rPr>
                <w:rFonts w:ascii="Times New Roman" w:hAnsi="Times New Roman" w:cs="Times New Roman"/>
                <w:color w:val="000000" w:themeColor="text1"/>
                <w:sz w:val="24"/>
                <w:highlight w:val="none"/>
                <w14:textFill>
                  <w14:solidFill>
                    <w14:schemeClr w14:val="tx1"/>
                  </w14:solidFill>
                </w14:textFill>
              </w:rPr>
            </w:pPr>
          </w:p>
          <w:p>
            <w:pPr>
              <w:spacing w:line="360" w:lineRule="auto"/>
              <w:rPr>
                <w:rFonts w:ascii="宋体" w:hAnsi="Times New Roman" w:eastAsia="宋体" w:cs="宋体"/>
                <w:color w:val="000000" w:themeColor="text1"/>
                <w:sz w:val="24"/>
                <w:highlight w:val="none"/>
                <w14:textFill>
                  <w14:solidFill>
                    <w14:schemeClr w14:val="tx1"/>
                  </w14:solidFill>
                </w14:textFill>
              </w:rPr>
            </w:pPr>
          </w:p>
        </w:tc>
      </w:tr>
    </w:tbl>
    <w:p>
      <w:pPr>
        <w:rPr>
          <w:rFonts w:ascii="宋体" w:hAnsi="Times New Roman" w:eastAsia="宋体" w:cs="Times New Roman"/>
          <w:color w:val="000000" w:themeColor="text1"/>
          <w:highlight w:val="none"/>
          <w:lang w:bidi="ar"/>
          <w14:textFill>
            <w14:solidFill>
              <w14:schemeClr w14:val="tx1"/>
            </w14:solidFill>
          </w14:textFill>
        </w:rPr>
      </w:pPr>
      <w:r>
        <w:rPr>
          <w:rFonts w:ascii="宋体" w:hAnsi="Times New Roman" w:eastAsia="宋体" w:cs="Times New Roman"/>
          <w:color w:val="000000" w:themeColor="text1"/>
          <w:highlight w:val="none"/>
          <w:lang w:bidi="ar"/>
          <w14:textFill>
            <w14:solidFill>
              <w14:schemeClr w14:val="tx1"/>
            </w14:solidFill>
          </w14:textFill>
        </w:rPr>
        <w:br w:type="page"/>
      </w:r>
    </w:p>
    <w:p>
      <w:pPr>
        <w:rPr>
          <w:rFonts w:ascii="宋体" w:hAnsi="Times New Roman" w:eastAsia="宋体" w:cs="Times New Roman"/>
          <w:color w:val="000000" w:themeColor="text1"/>
          <w:highlight w:val="none"/>
          <w:lang w:bidi="ar"/>
          <w14:textFill>
            <w14:solidFill>
              <w14:schemeClr w14:val="tx1"/>
            </w14:solidFill>
          </w14:textFill>
        </w:rPr>
      </w:pPr>
      <w:r>
        <w:rPr>
          <w:rFonts w:ascii="宋体" w:hAnsi="Times New Roman" w:eastAsia="宋体" w:cs="Times New Roman"/>
          <w:color w:val="000000" w:themeColor="text1"/>
          <w:highlight w:val="none"/>
          <w:lang w:bidi="ar"/>
          <w14:textFill>
            <w14:solidFill>
              <w14:schemeClr w14:val="tx1"/>
            </w14:solidFill>
          </w14:textFill>
        </w:rPr>
        <w:br w:type="page"/>
      </w:r>
    </w:p>
    <w:p>
      <w:pPr>
        <w:pStyle w:val="16"/>
        <w:rPr>
          <w:color w:val="000000" w:themeColor="text1"/>
          <w:highlight w:val="none"/>
          <w14:textFill>
            <w14:solidFill>
              <w14:schemeClr w14:val="tx1"/>
            </w14:solidFill>
          </w14:textFill>
        </w:rPr>
        <w:sectPr>
          <w:pgSz w:w="11906" w:h="16838"/>
          <w:pgMar w:top="1702" w:right="1531" w:bottom="1702" w:left="1531" w:header="851" w:footer="851" w:gutter="0"/>
          <w:cols w:space="425" w:num="1"/>
          <w:docGrid w:type="lines" w:linePitch="312" w:charSpace="0"/>
        </w:sectPr>
      </w:pPr>
    </w:p>
    <w:p>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textAlignment w:val="auto"/>
        <w:outlineLvl w:val="0"/>
        <w:rPr>
          <w:rFonts w:hint="default" w:ascii="黑体" w:eastAsia="黑体" w:cs="黑体"/>
          <w:color w:val="000000" w:themeColor="text1"/>
          <w:sz w:val="32"/>
          <w:szCs w:val="32"/>
          <w:highlight w:val="none"/>
          <w14:textFill>
            <w14:solidFill>
              <w14:schemeClr w14:val="tx1"/>
            </w14:solidFill>
          </w14:textFill>
        </w:rPr>
      </w:pPr>
      <w:r>
        <w:rPr>
          <w:rFonts w:ascii="黑体" w:eastAsia="黑体" w:cs="黑体"/>
          <w:snapToGrid w:val="0"/>
          <w:color w:val="000000" w:themeColor="text1"/>
          <w:sz w:val="32"/>
          <w:szCs w:val="32"/>
          <w:highlight w:val="none"/>
          <w14:textFill>
            <w14:solidFill>
              <w14:schemeClr w14:val="tx1"/>
            </w14:solidFill>
          </w14:textFill>
        </w:rPr>
        <w:t>附表</w:t>
      </w:r>
    </w:p>
    <w:p>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0"/>
        <w:rPr>
          <w:rFonts w:hint="default" w:ascii="方正小标宋_GBK" w:eastAsia="方正小标宋_GBK" w:cs="方正小标宋_GBK"/>
          <w:color w:val="000000" w:themeColor="text1"/>
          <w:sz w:val="38"/>
          <w:szCs w:val="38"/>
          <w:highlight w:val="none"/>
          <w14:textFill>
            <w14:solidFill>
              <w14:schemeClr w14:val="tx1"/>
            </w14:solidFill>
          </w14:textFill>
        </w:rPr>
      </w:pPr>
      <w:r>
        <w:rPr>
          <w:rFonts w:ascii="方正小标宋_GBK" w:eastAsia="方正小标宋_GBK" w:cs="方正小标宋_GBK"/>
          <w:snapToGrid w:val="0"/>
          <w:color w:val="000000" w:themeColor="text1"/>
          <w:sz w:val="38"/>
          <w:szCs w:val="38"/>
          <w:highlight w:val="none"/>
          <w14:textFill>
            <w14:solidFill>
              <w14:schemeClr w14:val="tx1"/>
            </w14:solidFill>
          </w14:textFill>
        </w:rPr>
        <w:t>建设项目污染物排放量汇总表</w:t>
      </w:r>
    </w:p>
    <w:tbl>
      <w:tblPr>
        <w:tblStyle w:val="22"/>
        <w:tblW w:w="137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3116"/>
        <w:gridCol w:w="1309"/>
        <w:gridCol w:w="1241"/>
        <w:gridCol w:w="1425"/>
        <w:gridCol w:w="1365"/>
        <w:gridCol w:w="1290"/>
        <w:gridCol w:w="1639"/>
        <w:gridCol w:w="12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 xml:space="preserve">    </w:t>
            </w:r>
            <w:r>
              <w:rPr>
                <w:rFonts w:hint="default" w:ascii="Times New Roman"/>
                <w:snapToGrid w:val="0"/>
                <w:color w:val="000000" w:themeColor="text1"/>
                <w:spacing w:val="-6"/>
                <w:kern w:val="21"/>
                <w:sz w:val="21"/>
                <w:szCs w:val="21"/>
                <w:highlight w:val="none"/>
                <w14:textFill>
                  <w14:solidFill>
                    <w14:schemeClr w14:val="tx1"/>
                  </w14:solidFill>
                </w14:textFill>
              </w:rPr>
              <w:t>项目</w:t>
            </w:r>
          </w:p>
          <w:p>
            <w:pPr>
              <w:pStyle w:val="38"/>
              <w:keepNext w:val="0"/>
              <w:keepLines w:val="0"/>
              <w:pageBreakBefore w:val="0"/>
              <w:widowControl/>
              <w:kinsoku/>
              <w:wordWrap/>
              <w:overflowPunct/>
              <w:topLinePunct w:val="0"/>
              <w:bidi w:val="0"/>
              <w:spacing w:beforeLines="0" w:beforeAutospacing="0" w:afterLines="0" w:afterAutospacing="0" w:line="240" w:lineRule="auto"/>
              <w:jc w:val="both"/>
              <w:rPr>
                <w:rFonts w:hint="default" w:ascii="Times New Roman"/>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分类</w:t>
            </w:r>
          </w:p>
        </w:tc>
        <w:tc>
          <w:tcPr>
            <w:tcW w:w="311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污染物名称</w:t>
            </w:r>
          </w:p>
        </w:tc>
        <w:tc>
          <w:tcPr>
            <w:tcW w:w="130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jc w:val="center"/>
              <w:rPr>
                <w:rFonts w:hint="default" w:ascii="Times New Roman"/>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现有工程</w:t>
            </w:r>
          </w:p>
          <w:p>
            <w:pPr>
              <w:pStyle w:val="38"/>
              <w:keepNext w:val="0"/>
              <w:keepLines w:val="0"/>
              <w:pageBreakBefore w:val="0"/>
              <w:widowControl/>
              <w:kinsoku/>
              <w:wordWrap/>
              <w:overflowPunct/>
              <w:topLinePunct w:val="0"/>
              <w:bidi w:val="0"/>
              <w:spacing w:beforeLines="0" w:beforeAutospacing="0" w:afterLines="0" w:afterAutospacing="0" w:line="240" w:lineRule="auto"/>
              <w:jc w:val="center"/>
              <w:rPr>
                <w:rFonts w:hint="default" w:ascii="Times New Roman"/>
                <w:snapToGrid w:val="0"/>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color w:val="000000" w:themeColor="text1"/>
                <w:spacing w:val="-6"/>
                <w:kern w:val="21"/>
                <w:sz w:val="21"/>
                <w:szCs w:val="21"/>
                <w:highlight w:val="none"/>
                <w14:textFill>
                  <w14:solidFill>
                    <w14:schemeClr w14:val="tx1"/>
                  </w14:solidFill>
                </w14:textFill>
              </w:rPr>
              <w:fldChar w:fldCharType="begin"/>
            </w:r>
            <w:r>
              <w:rPr>
                <w:rFonts w:hint="default" w:ascii="Times New Roman"/>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color w:val="000000" w:themeColor="text1"/>
                <w:spacing w:val="-6"/>
                <w:kern w:val="21"/>
                <w:sz w:val="21"/>
                <w:szCs w:val="21"/>
                <w:highlight w:val="none"/>
                <w14:textFill>
                  <w14:solidFill>
                    <w14:schemeClr w14:val="tx1"/>
                  </w14:solidFill>
                </w14:textFill>
              </w:rPr>
              <w:fldChar w:fldCharType="separate"/>
            </w:r>
            <w:r>
              <w:rPr>
                <w:rFonts w:hint="default" w:ascii="Times New Roman"/>
                <w:color w:val="000000" w:themeColor="text1"/>
                <w:kern w:val="2"/>
                <w:sz w:val="21"/>
                <w:szCs w:val="21"/>
                <w:highlight w:val="none"/>
                <w14:textFill>
                  <w14:solidFill>
                    <w14:schemeClr w14:val="tx1"/>
                  </w14:solidFill>
                </w14:textFill>
              </w:rPr>
              <w:t>①</w:t>
            </w:r>
            <w:r>
              <w:rPr>
                <w:rFonts w:hint="default" w:ascii="Times New Roman"/>
                <w:color w:val="000000" w:themeColor="text1"/>
                <w:spacing w:val="-6"/>
                <w:kern w:val="21"/>
                <w:sz w:val="21"/>
                <w:szCs w:val="21"/>
                <w:highlight w:val="none"/>
                <w14:textFill>
                  <w14:solidFill>
                    <w14:schemeClr w14:val="tx1"/>
                  </w14:solidFill>
                </w14:textFill>
              </w:rPr>
              <w:fldChar w:fldCharType="end"/>
            </w:r>
          </w:p>
        </w:tc>
        <w:tc>
          <w:tcPr>
            <w:tcW w:w="1241"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现有工程</w:t>
            </w:r>
          </w:p>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许可排放量</w:t>
            </w:r>
          </w:p>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spacing w:val="-6"/>
                <w:kern w:val="21"/>
                <w:sz w:val="21"/>
                <w:szCs w:val="21"/>
                <w:highlight w:val="none"/>
                <w14:textFill>
                  <w14:solidFill>
                    <w14:schemeClr w14:val="tx1"/>
                  </w14:solidFill>
                </w14:textFill>
              </w:rPr>
            </w:pPr>
            <w:r>
              <w:rPr>
                <w:rFonts w:hint="default" w:ascii="Times New Roman"/>
                <w:color w:val="000000" w:themeColor="text1"/>
                <w:spacing w:val="-6"/>
                <w:kern w:val="21"/>
                <w:sz w:val="21"/>
                <w:szCs w:val="21"/>
                <w:highlight w:val="none"/>
                <w14:textFill>
                  <w14:solidFill>
                    <w14:schemeClr w14:val="tx1"/>
                  </w14:solidFill>
                </w14:textFill>
              </w:rPr>
              <w:fldChar w:fldCharType="begin"/>
            </w:r>
            <w:r>
              <w:rPr>
                <w:rFonts w:hint="default" w:ascii="Times New Roman"/>
                <w:color w:val="000000" w:themeColor="text1"/>
                <w:spacing w:val="-6"/>
                <w:kern w:val="21"/>
                <w:sz w:val="21"/>
                <w:szCs w:val="21"/>
                <w:highlight w:val="none"/>
                <w14:textFill>
                  <w14:solidFill>
                    <w14:schemeClr w14:val="tx1"/>
                  </w14:solidFill>
                </w14:textFill>
              </w:rPr>
              <w:instrText xml:space="preserve"> </w:instrText>
            </w:r>
            <w:r>
              <w:rPr>
                <w:rFonts w:hint="default" w:ascii="Times New Roman"/>
                <w:snapToGrid w:val="0"/>
                <w:color w:val="000000" w:themeColor="text1"/>
                <w:spacing w:val="-6"/>
                <w:kern w:val="21"/>
                <w:sz w:val="21"/>
                <w:szCs w:val="21"/>
                <w:highlight w:val="none"/>
                <w14:textFill>
                  <w14:solidFill>
                    <w14:schemeClr w14:val="tx1"/>
                  </w14:solidFill>
                </w14:textFill>
              </w:rPr>
              <w:instrText xml:space="preserve">= 2 \* GB3 \* MERGEFORMAT </w:instrText>
            </w:r>
            <w:r>
              <w:rPr>
                <w:rFonts w:hint="default" w:ascii="Times New Roman"/>
                <w:color w:val="000000" w:themeColor="text1"/>
                <w:spacing w:val="-6"/>
                <w:kern w:val="21"/>
                <w:sz w:val="21"/>
                <w:szCs w:val="21"/>
                <w:highlight w:val="none"/>
                <w14:textFill>
                  <w14:solidFill>
                    <w14:schemeClr w14:val="tx1"/>
                  </w14:solidFill>
                </w14:textFill>
              </w:rPr>
              <w:fldChar w:fldCharType="separate"/>
            </w:r>
            <w:r>
              <w:rPr>
                <w:rFonts w:hint="default" w:ascii="Times New Roman"/>
                <w:snapToGrid w:val="0"/>
                <w:color w:val="000000" w:themeColor="text1"/>
                <w:spacing w:val="-6"/>
                <w:kern w:val="21"/>
                <w:sz w:val="21"/>
                <w:szCs w:val="21"/>
                <w:highlight w:val="none"/>
                <w14:textFill>
                  <w14:solidFill>
                    <w14:schemeClr w14:val="tx1"/>
                  </w14:solidFill>
                </w14:textFill>
              </w:rPr>
              <w:t>②</w:t>
            </w:r>
            <w:r>
              <w:rPr>
                <w:rFonts w:hint="default" w:ascii="Times New Roman"/>
                <w:color w:val="000000" w:themeColor="text1"/>
                <w:spacing w:val="-6"/>
                <w:kern w:val="21"/>
                <w:sz w:val="21"/>
                <w:szCs w:val="21"/>
                <w:highlight w:val="none"/>
                <w14:textFill>
                  <w14:solidFill>
                    <w14:schemeClr w14:val="tx1"/>
                  </w14:solidFill>
                </w14:textFill>
              </w:rPr>
              <w:fldChar w:fldCharType="end"/>
            </w:r>
          </w:p>
        </w:tc>
        <w:tc>
          <w:tcPr>
            <w:tcW w:w="1425"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在建工程</w:t>
            </w:r>
          </w:p>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color w:val="000000" w:themeColor="text1"/>
                <w:spacing w:val="-6"/>
                <w:kern w:val="21"/>
                <w:sz w:val="21"/>
                <w:szCs w:val="21"/>
                <w:highlight w:val="none"/>
                <w14:textFill>
                  <w14:solidFill>
                    <w14:schemeClr w14:val="tx1"/>
                  </w14:solidFill>
                </w14:textFill>
              </w:rPr>
              <w:fldChar w:fldCharType="begin"/>
            </w:r>
            <w:r>
              <w:rPr>
                <w:rFonts w:hint="default" w:ascii="Times New Roman"/>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color w:val="000000" w:themeColor="text1"/>
                <w:spacing w:val="-6"/>
                <w:kern w:val="21"/>
                <w:sz w:val="21"/>
                <w:szCs w:val="21"/>
                <w:highlight w:val="none"/>
                <w14:textFill>
                  <w14:solidFill>
                    <w14:schemeClr w14:val="tx1"/>
                  </w14:solidFill>
                </w14:textFill>
              </w:rPr>
              <w:fldChar w:fldCharType="separate"/>
            </w:r>
            <w:r>
              <w:rPr>
                <w:rFonts w:hint="default" w:ascii="Times New Roman"/>
                <w:color w:val="000000" w:themeColor="text1"/>
                <w:kern w:val="2"/>
                <w:sz w:val="21"/>
                <w:szCs w:val="21"/>
                <w:highlight w:val="none"/>
                <w14:textFill>
                  <w14:solidFill>
                    <w14:schemeClr w14:val="tx1"/>
                  </w14:solidFill>
                </w14:textFill>
              </w:rPr>
              <w:t>③</w:t>
            </w:r>
            <w:r>
              <w:rPr>
                <w:rFonts w:hint="default" w:ascii="Times New Roman"/>
                <w:color w:val="000000" w:themeColor="text1"/>
                <w:spacing w:val="-6"/>
                <w:kern w:val="21"/>
                <w:sz w:val="21"/>
                <w:szCs w:val="21"/>
                <w:highlight w:val="none"/>
                <w14:textFill>
                  <w14:solidFill>
                    <w14:schemeClr w14:val="tx1"/>
                  </w14:solidFill>
                </w14:textFill>
              </w:rPr>
              <w:fldChar w:fldCharType="end"/>
            </w:r>
          </w:p>
        </w:tc>
        <w:tc>
          <w:tcPr>
            <w:tcW w:w="1365"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本项目</w:t>
            </w:r>
          </w:p>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color w:val="000000" w:themeColor="text1"/>
                <w:spacing w:val="-6"/>
                <w:kern w:val="21"/>
                <w:sz w:val="21"/>
                <w:szCs w:val="21"/>
                <w:highlight w:val="none"/>
                <w14:textFill>
                  <w14:solidFill>
                    <w14:schemeClr w14:val="tx1"/>
                  </w14:solidFill>
                </w14:textFill>
              </w:rPr>
              <w:fldChar w:fldCharType="begin"/>
            </w:r>
            <w:r>
              <w:rPr>
                <w:rFonts w:hint="default" w:ascii="Times New Roman"/>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color w:val="000000" w:themeColor="text1"/>
                <w:spacing w:val="-6"/>
                <w:kern w:val="21"/>
                <w:sz w:val="21"/>
                <w:szCs w:val="21"/>
                <w:highlight w:val="none"/>
                <w14:textFill>
                  <w14:solidFill>
                    <w14:schemeClr w14:val="tx1"/>
                  </w14:solidFill>
                </w14:textFill>
              </w:rPr>
              <w:fldChar w:fldCharType="separate"/>
            </w:r>
            <w:r>
              <w:rPr>
                <w:rFonts w:hint="default" w:ascii="Times New Roman"/>
                <w:color w:val="000000" w:themeColor="text1"/>
                <w:kern w:val="2"/>
                <w:sz w:val="21"/>
                <w:szCs w:val="21"/>
                <w:highlight w:val="none"/>
                <w14:textFill>
                  <w14:solidFill>
                    <w14:schemeClr w14:val="tx1"/>
                  </w14:solidFill>
                </w14:textFill>
              </w:rPr>
              <w:t>④</w:t>
            </w:r>
            <w:r>
              <w:rPr>
                <w:rFonts w:hint="default" w:ascii="Times New Roman"/>
                <w:color w:val="000000" w:themeColor="text1"/>
                <w:spacing w:val="-6"/>
                <w:kern w:val="21"/>
                <w:sz w:val="21"/>
                <w:szCs w:val="21"/>
                <w:highlight w:val="none"/>
                <w14:textFill>
                  <w14:solidFill>
                    <w14:schemeClr w14:val="tx1"/>
                  </w14:solidFill>
                </w14:textFill>
              </w:rPr>
              <w:fldChar w:fldCharType="end"/>
            </w:r>
          </w:p>
        </w:tc>
        <w:tc>
          <w:tcPr>
            <w:tcW w:w="1290"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spacing w:val="-16"/>
                <w:kern w:val="21"/>
                <w:sz w:val="21"/>
                <w:szCs w:val="21"/>
                <w:highlight w:val="none"/>
                <w14:textFill>
                  <w14:solidFill>
                    <w14:schemeClr w14:val="tx1"/>
                  </w14:solidFill>
                </w14:textFill>
              </w:rPr>
            </w:pPr>
            <w:r>
              <w:rPr>
                <w:rFonts w:hint="default" w:ascii="Times New Roman"/>
                <w:snapToGrid w:val="0"/>
                <w:color w:val="000000" w:themeColor="text1"/>
                <w:spacing w:val="-16"/>
                <w:kern w:val="21"/>
                <w:sz w:val="21"/>
                <w:szCs w:val="21"/>
                <w:highlight w:val="none"/>
                <w14:textFill>
                  <w14:solidFill>
                    <w14:schemeClr w14:val="tx1"/>
                  </w14:solidFill>
                </w14:textFill>
              </w:rPr>
              <w:t>以新带老削减量（新建项目不填）</w:t>
            </w:r>
            <w:r>
              <w:rPr>
                <w:rFonts w:hint="default" w:ascii="Times New Roman"/>
                <w:color w:val="000000" w:themeColor="text1"/>
                <w:spacing w:val="-16"/>
                <w:kern w:val="21"/>
                <w:sz w:val="21"/>
                <w:szCs w:val="21"/>
                <w:highlight w:val="none"/>
                <w14:textFill>
                  <w14:solidFill>
                    <w14:schemeClr w14:val="tx1"/>
                  </w14:solidFill>
                </w14:textFill>
              </w:rPr>
              <w:fldChar w:fldCharType="begin"/>
            </w:r>
            <w:r>
              <w:rPr>
                <w:rFonts w:hint="default" w:ascii="Times New Roman"/>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color w:val="000000" w:themeColor="text1"/>
                <w:spacing w:val="-16"/>
                <w:kern w:val="21"/>
                <w:sz w:val="21"/>
                <w:szCs w:val="21"/>
                <w:highlight w:val="none"/>
                <w14:textFill>
                  <w14:solidFill>
                    <w14:schemeClr w14:val="tx1"/>
                  </w14:solidFill>
                </w14:textFill>
              </w:rPr>
              <w:fldChar w:fldCharType="separate"/>
            </w:r>
            <w:r>
              <w:rPr>
                <w:rFonts w:hint="default" w:ascii="Times New Roman"/>
                <w:color w:val="000000" w:themeColor="text1"/>
                <w:kern w:val="2"/>
                <w:sz w:val="21"/>
                <w:szCs w:val="21"/>
                <w:highlight w:val="none"/>
                <w14:textFill>
                  <w14:solidFill>
                    <w14:schemeClr w14:val="tx1"/>
                  </w14:solidFill>
                </w14:textFill>
              </w:rPr>
              <w:t>⑤</w:t>
            </w:r>
            <w:r>
              <w:rPr>
                <w:rFonts w:hint="default" w:ascii="Times New Roman"/>
                <w:color w:val="000000" w:themeColor="text1"/>
                <w:spacing w:val="-16"/>
                <w:kern w:val="21"/>
                <w:sz w:val="21"/>
                <w:szCs w:val="21"/>
                <w:highlight w:val="none"/>
                <w14:textFill>
                  <w14:solidFill>
                    <w14:schemeClr w14:val="tx1"/>
                  </w14:solidFill>
                </w14:textFill>
              </w:rPr>
              <w:fldChar w:fldCharType="end"/>
            </w:r>
          </w:p>
        </w:tc>
        <w:tc>
          <w:tcPr>
            <w:tcW w:w="163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spacing w:val="-16"/>
                <w:kern w:val="21"/>
                <w:sz w:val="21"/>
                <w:szCs w:val="21"/>
                <w:highlight w:val="none"/>
                <w14:textFill>
                  <w14:solidFill>
                    <w14:schemeClr w14:val="tx1"/>
                  </w14:solidFill>
                </w14:textFill>
              </w:rPr>
            </w:pPr>
            <w:r>
              <w:rPr>
                <w:rFonts w:hint="default" w:ascii="Times New Roman"/>
                <w:snapToGrid w:val="0"/>
                <w:color w:val="000000" w:themeColor="text1"/>
                <w:spacing w:val="-16"/>
                <w:kern w:val="21"/>
                <w:sz w:val="21"/>
                <w:szCs w:val="21"/>
                <w:highlight w:val="none"/>
                <w14:textFill>
                  <w14:solidFill>
                    <w14:schemeClr w14:val="tx1"/>
                  </w14:solidFill>
                </w14:textFill>
              </w:rPr>
              <w:t>本项目建成后</w:t>
            </w:r>
          </w:p>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spacing w:val="-16"/>
                <w:kern w:val="21"/>
                <w:sz w:val="21"/>
                <w:szCs w:val="21"/>
                <w:highlight w:val="none"/>
                <w14:textFill>
                  <w14:solidFill>
                    <w14:schemeClr w14:val="tx1"/>
                  </w14:solidFill>
                </w14:textFill>
              </w:rPr>
            </w:pPr>
            <w:r>
              <w:rPr>
                <w:rFonts w:hint="default" w:ascii="Times New Roman"/>
                <w:snapToGrid w:val="0"/>
                <w:color w:val="000000" w:themeColor="text1"/>
                <w:spacing w:val="-16"/>
                <w:kern w:val="21"/>
                <w:sz w:val="21"/>
                <w:szCs w:val="21"/>
                <w:highlight w:val="none"/>
                <w14:textFill>
                  <w14:solidFill>
                    <w14:schemeClr w14:val="tx1"/>
                  </w14:solidFill>
                </w14:textFill>
              </w:rPr>
              <w:t>全厂排放量（固体废物产生量）</w:t>
            </w:r>
            <w:r>
              <w:rPr>
                <w:rFonts w:hint="default" w:ascii="Times New Roman"/>
                <w:color w:val="000000" w:themeColor="text1"/>
                <w:spacing w:val="-16"/>
                <w:kern w:val="21"/>
                <w:sz w:val="21"/>
                <w:szCs w:val="21"/>
                <w:highlight w:val="none"/>
                <w14:textFill>
                  <w14:solidFill>
                    <w14:schemeClr w14:val="tx1"/>
                  </w14:solidFill>
                </w14:textFill>
              </w:rPr>
              <w:fldChar w:fldCharType="begin"/>
            </w:r>
            <w:r>
              <w:rPr>
                <w:rFonts w:hint="default" w:ascii="Times New Roman"/>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color w:val="000000" w:themeColor="text1"/>
                <w:spacing w:val="-16"/>
                <w:kern w:val="21"/>
                <w:sz w:val="21"/>
                <w:szCs w:val="21"/>
                <w:highlight w:val="none"/>
                <w14:textFill>
                  <w14:solidFill>
                    <w14:schemeClr w14:val="tx1"/>
                  </w14:solidFill>
                </w14:textFill>
              </w:rPr>
              <w:fldChar w:fldCharType="separate"/>
            </w:r>
            <w:r>
              <w:rPr>
                <w:rFonts w:hint="default" w:ascii="Times New Roman"/>
                <w:color w:val="000000" w:themeColor="text1"/>
                <w:kern w:val="2"/>
                <w:sz w:val="21"/>
                <w:szCs w:val="21"/>
                <w:highlight w:val="none"/>
                <w14:textFill>
                  <w14:solidFill>
                    <w14:schemeClr w14:val="tx1"/>
                  </w14:solidFill>
                </w14:textFill>
              </w:rPr>
              <w:t>⑥</w:t>
            </w:r>
            <w:r>
              <w:rPr>
                <w:rFonts w:hint="default" w:ascii="Times New Roman"/>
                <w:color w:val="000000" w:themeColor="text1"/>
                <w:spacing w:val="-16"/>
                <w:kern w:val="21"/>
                <w:sz w:val="21"/>
                <w:szCs w:val="21"/>
                <w:highlight w:val="none"/>
                <w14:textFill>
                  <w14:solidFill>
                    <w14:schemeClr w14:val="tx1"/>
                  </w14:solidFill>
                </w14:textFill>
              </w:rPr>
              <w:fldChar w:fldCharType="end"/>
            </w:r>
          </w:p>
        </w:tc>
        <w:tc>
          <w:tcPr>
            <w:tcW w:w="1243"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spacing w:val="-6"/>
                <w:kern w:val="21"/>
                <w:sz w:val="21"/>
                <w:szCs w:val="21"/>
                <w:highlight w:val="none"/>
                <w14:textFill>
                  <w14:solidFill>
                    <w14:schemeClr w14:val="tx1"/>
                  </w14:solidFill>
                </w14:textFill>
              </w:rPr>
            </w:pPr>
            <w:r>
              <w:rPr>
                <w:rFonts w:hint="default" w:ascii="Times New Roman"/>
                <w:snapToGrid w:val="0"/>
                <w:color w:val="000000" w:themeColor="text1"/>
                <w:spacing w:val="-6"/>
                <w:kern w:val="21"/>
                <w:sz w:val="21"/>
                <w:szCs w:val="21"/>
                <w:highlight w:val="none"/>
                <w14:textFill>
                  <w14:solidFill>
                    <w14:schemeClr w14:val="tx1"/>
                  </w14:solidFill>
                </w14:textFill>
              </w:rPr>
              <w:t>变化量</w:t>
            </w:r>
          </w:p>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spacing w:val="-6"/>
                <w:kern w:val="21"/>
                <w:sz w:val="21"/>
                <w:szCs w:val="21"/>
                <w:highlight w:val="none"/>
                <w14:textFill>
                  <w14:solidFill>
                    <w14:schemeClr w14:val="tx1"/>
                  </w14:solidFill>
                </w14:textFill>
              </w:rPr>
            </w:pPr>
            <w:r>
              <w:rPr>
                <w:rFonts w:hint="default" w:ascii="Times New Roman"/>
                <w:color w:val="000000" w:themeColor="text1"/>
                <w:spacing w:val="-6"/>
                <w:kern w:val="21"/>
                <w:sz w:val="21"/>
                <w:szCs w:val="21"/>
                <w:highlight w:val="none"/>
                <w14:textFill>
                  <w14:solidFill>
                    <w14:schemeClr w14:val="tx1"/>
                  </w14:solidFill>
                </w14:textFill>
              </w:rPr>
              <w:fldChar w:fldCharType="begin"/>
            </w:r>
            <w:r>
              <w:rPr>
                <w:rFonts w:hint="default" w:ascii="Times New Roman"/>
                <w:color w:val="000000" w:themeColor="text1"/>
                <w:spacing w:val="-6"/>
                <w:kern w:val="21"/>
                <w:sz w:val="21"/>
                <w:szCs w:val="21"/>
                <w:highlight w:val="none"/>
                <w14:textFill>
                  <w14:solidFill>
                    <w14:schemeClr w14:val="tx1"/>
                  </w14:solidFill>
                </w14:textFill>
              </w:rPr>
              <w:instrText xml:space="preserve"> </w:instrText>
            </w:r>
            <w:r>
              <w:rPr>
                <w:rFonts w:hint="default" w:ascii="Times New Roman"/>
                <w:snapToGrid w:val="0"/>
                <w:color w:val="000000" w:themeColor="text1"/>
                <w:spacing w:val="-6"/>
                <w:kern w:val="21"/>
                <w:sz w:val="21"/>
                <w:szCs w:val="21"/>
                <w:highlight w:val="none"/>
                <w14:textFill>
                  <w14:solidFill>
                    <w14:schemeClr w14:val="tx1"/>
                  </w14:solidFill>
                </w14:textFill>
              </w:rPr>
              <w:instrText xml:space="preserve">= 7 \* GB3 \* MERGEFORMAT </w:instrText>
            </w:r>
            <w:r>
              <w:rPr>
                <w:rFonts w:hint="default" w:ascii="Times New Roman"/>
                <w:color w:val="000000" w:themeColor="text1"/>
                <w:spacing w:val="-6"/>
                <w:kern w:val="21"/>
                <w:sz w:val="21"/>
                <w:szCs w:val="21"/>
                <w:highlight w:val="none"/>
                <w14:textFill>
                  <w14:solidFill>
                    <w14:schemeClr w14:val="tx1"/>
                  </w14:solidFill>
                </w14:textFill>
              </w:rPr>
              <w:fldChar w:fldCharType="separate"/>
            </w:r>
            <w:r>
              <w:rPr>
                <w:rFonts w:hint="default" w:ascii="Times New Roman"/>
                <w:color w:val="000000" w:themeColor="text1"/>
                <w:kern w:val="2"/>
                <w:sz w:val="21"/>
                <w:szCs w:val="21"/>
                <w:highlight w:val="none"/>
                <w14:textFill>
                  <w14:solidFill>
                    <w14:schemeClr w14:val="tx1"/>
                  </w14:solidFill>
                </w14:textFill>
              </w:rPr>
              <w:t>⑦</w:t>
            </w:r>
            <w:r>
              <w:rPr>
                <w:rFonts w:hint="default" w:ascii="Times New Roman"/>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restart"/>
            <w:tcBorders>
              <w:top w:val="single" w:color="auto" w:sz="4" w:space="0"/>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kern w:val="21"/>
                <w:sz w:val="21"/>
                <w:szCs w:val="21"/>
                <w:highlight w:val="none"/>
                <w14:textFill>
                  <w14:solidFill>
                    <w14:schemeClr w14:val="tx1"/>
                  </w14:solidFill>
                </w14:textFill>
              </w:rPr>
            </w:pPr>
            <w:r>
              <w:rPr>
                <w:rFonts w:hint="default" w:ascii="Times New Roman"/>
                <w:snapToGrid w:val="0"/>
                <w:color w:val="000000" w:themeColor="text1"/>
                <w:kern w:val="21"/>
                <w:sz w:val="21"/>
                <w:szCs w:val="21"/>
                <w:highlight w:val="none"/>
                <w14:textFill>
                  <w14:solidFill>
                    <w14:schemeClr w14:val="tx1"/>
                  </w14:solidFill>
                </w14:textFill>
              </w:rPr>
              <w:t>废气</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颗粒物</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pacing w:beforeAutospacing="0" w:afterAutospacing="0" w:line="240" w:lineRule="auto"/>
              <w:ind w:firstLine="0" w:firstLineChars="0"/>
              <w:jc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138.110t/a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25.720t/a</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19.690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19.690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pacing w:beforeAutospacing="0" w:afterAutospacing="0" w:line="240" w:lineRule="auto"/>
              <w:ind w:firstLine="0" w:firstLine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138.110</w:t>
            </w: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hint="default" w:ascii="Times New Roman" w:hAnsi="Times New Roman" w:eastAsia="宋体" w:cs="Times New Roman"/>
                <w:color w:val="000000" w:themeColor="text1"/>
                <w:kern w:val="0"/>
                <w:sz w:val="21"/>
                <w:szCs w:val="21"/>
                <w:highlight w:val="none"/>
                <w:lang w:val="en-US"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r>
              <w:rPr>
                <w:rFonts w:hint="default" w:ascii="Times New Roman"/>
                <w:snapToGrid w:val="0"/>
                <w:color w:val="000000" w:themeColor="text1"/>
                <w:kern w:val="21"/>
                <w:sz w:val="21"/>
                <w:szCs w:val="21"/>
                <w:highlight w:val="none"/>
                <w14:textFill>
                  <w14:solidFill>
                    <w14:schemeClr w14:val="tx1"/>
                  </w14:solidFill>
                </w14:textFill>
              </w:rPr>
              <w:t>SO</w:t>
            </w:r>
            <w:r>
              <w:rPr>
                <w:rFonts w:hint="default" w:ascii="Times New Roman"/>
                <w:snapToGrid w:val="0"/>
                <w:color w:val="000000" w:themeColor="text1"/>
                <w:kern w:val="21"/>
                <w:sz w:val="21"/>
                <w:szCs w:val="21"/>
                <w:highlight w:val="none"/>
                <w:vertAlign w:val="subscript"/>
                <w14:textFill>
                  <w14:solidFill>
                    <w14:schemeClr w14:val="tx1"/>
                  </w14:solidFill>
                </w14:textFill>
              </w:rPr>
              <w:t>2</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26.030t/a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26.030t/a</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59.770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85.800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+59.770t/a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r>
              <w:rPr>
                <w:rFonts w:hint="default" w:ascii="Times New Roman"/>
                <w:snapToGrid w:val="0"/>
                <w:color w:val="000000" w:themeColor="text1"/>
                <w:kern w:val="21"/>
                <w:sz w:val="21"/>
                <w:szCs w:val="21"/>
                <w:highlight w:val="none"/>
                <w14:textFill>
                  <w14:solidFill>
                    <w14:schemeClr w14:val="tx1"/>
                  </w14:solidFill>
                </w14:textFill>
              </w:rPr>
              <w:t>NO</w:t>
            </w:r>
            <w:r>
              <w:rPr>
                <w:rFonts w:hint="default" w:ascii="Times New Roman"/>
                <w:snapToGrid w:val="0"/>
                <w:color w:val="000000" w:themeColor="text1"/>
                <w:kern w:val="21"/>
                <w:sz w:val="21"/>
                <w:szCs w:val="21"/>
                <w:highlight w:val="none"/>
                <w:vertAlign w:val="subscript"/>
                <w14:textFill>
                  <w14:solidFill>
                    <w14:schemeClr w14:val="tx1"/>
                  </w14:solidFill>
                </w14:textFill>
              </w:rPr>
              <w:t>X</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55.800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55.800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47.160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102.960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+47.160t/a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甲醛</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pacing w:beforeAutospacing="0" w:afterAutospacing="0" w:line="240" w:lineRule="auto"/>
              <w:ind w:firstLine="0" w:firstLineChars="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1.130</w:t>
            </w: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pacing w:beforeAutospacing="0" w:afterAutospacing="0" w:line="240" w:lineRule="auto"/>
              <w:ind w:firstLine="0" w:firstLineChars="0"/>
              <w:jc w:val="center"/>
              <w:rPr>
                <w:rFonts w:hint="eastAsia"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1.130</w:t>
            </w: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hint="eastAsia"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非甲烷总烃</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pacing w:beforeAutospacing="0" w:afterAutospacing="0" w:line="240" w:lineRule="auto"/>
              <w:ind w:firstLine="0" w:firstLineChars="0"/>
              <w:jc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11.308</w:t>
            </w: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123.120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pacing w:beforeAutospacing="0" w:afterAutospacing="0" w:line="240" w:lineRule="auto"/>
              <w:ind w:firstLine="0" w:firstLineChars="0"/>
              <w:jc w:val="center"/>
              <w:rPr>
                <w:rFonts w:hint="eastAsia"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11.308</w:t>
            </w: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tcBorders>
              <w:top w:val="single" w:color="auto" w:sz="4" w:space="0"/>
              <w:left w:val="single" w:color="auto" w:sz="8"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废水</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restart"/>
            <w:tcBorders>
              <w:top w:val="single" w:color="auto" w:sz="4" w:space="0"/>
              <w:left w:val="single" w:color="auto" w:sz="8"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一般工业固体废物</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hint="default" w:ascii="Times New Roman" w:cs="Times New Roman" w:eastAsiaTheme="minorEastAsia"/>
                <w:snapToGrid w:val="0"/>
                <w:color w:val="000000" w:themeColor="text1"/>
                <w:kern w:val="21"/>
                <w:sz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 w:val="21"/>
                <w:szCs w:val="21"/>
                <w:highlight w:val="none"/>
                <w:lang w:val="en-US" w:eastAsia="zh-CN"/>
                <w14:textFill>
                  <w14:solidFill>
                    <w14:schemeClr w14:val="tx1"/>
                  </w14:solidFill>
                </w14:textFill>
              </w:rPr>
              <w:t>金属、砂石</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50.1</w:t>
            </w:r>
            <w:r>
              <w:rPr>
                <w:rFonts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0t/a</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50.1</w:t>
            </w:r>
            <w:r>
              <w:rPr>
                <w:rFonts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树皮、粉尘、不合格木片、锯屑</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46646.71</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t/a</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46646.71</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hint="eastAsia" w:ascii="Times New Roman" w:cs="Times New Roman" w:eastAsiaTheme="minorEastAsia"/>
                <w:snapToGrid w:val="0"/>
                <w:color w:val="000000" w:themeColor="text1"/>
                <w:kern w:val="21"/>
                <w:sz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 w:val="21"/>
                <w:szCs w:val="21"/>
                <w:highlight w:val="none"/>
                <w:lang w:val="en-US" w:eastAsia="zh-CN"/>
                <w14:textFill>
                  <w14:solidFill>
                    <w14:schemeClr w14:val="tx1"/>
                  </w14:solidFill>
                </w14:textFill>
              </w:rPr>
              <w:t>灰（炉）渣</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63</w:t>
            </w:r>
            <w:r>
              <w:rPr>
                <w:rFonts w:hint="eastAsia" w:ascii="Times New Roman" w:hAnsi="Times New Roman" w:eastAsia="宋体" w:cs="Times New Roman"/>
                <w:snapToGrid w:val="0"/>
                <w:color w:val="000000" w:themeColor="text1"/>
                <w:kern w:val="21"/>
                <w:sz w:val="21"/>
                <w:szCs w:val="21"/>
                <w:highlight w:val="none"/>
                <w14:textFill>
                  <w14:solidFill>
                    <w14:schemeClr w14:val="tx1"/>
                  </w14:solidFill>
                </w14:textFill>
              </w:rPr>
              <w:t>0t/a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630</w:t>
            </w:r>
            <w:r>
              <w:rPr>
                <w:rFonts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restart"/>
            <w:tcBorders>
              <w:top w:val="single" w:color="auto" w:sz="4" w:space="0"/>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color w:val="000000" w:themeColor="text1"/>
                <w:kern w:val="21"/>
                <w:sz w:val="21"/>
                <w:szCs w:val="21"/>
                <w:highlight w:val="none"/>
                <w14:textFill>
                  <w14:solidFill>
                    <w14:schemeClr w14:val="tx1"/>
                  </w14:solidFill>
                </w14:textFill>
              </w:rPr>
            </w:pPr>
            <w:r>
              <w:rPr>
                <w:rFonts w:hint="default" w:ascii="Times New Roman"/>
                <w:snapToGrid w:val="0"/>
                <w:color w:val="000000" w:themeColor="text1"/>
                <w:kern w:val="21"/>
                <w:sz w:val="21"/>
                <w:szCs w:val="21"/>
                <w:highlight w:val="none"/>
                <w14:textFill>
                  <w14:solidFill>
                    <w14:schemeClr w14:val="tx1"/>
                  </w14:solidFill>
                </w14:textFill>
              </w:rPr>
              <w:t>危险废物</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甲醛过滤</w:t>
            </w:r>
            <w:r>
              <w:rPr>
                <w:rFonts w:hint="eastAsia"/>
                <w:color w:val="000000" w:themeColor="text1"/>
                <w:sz w:val="21"/>
                <w:szCs w:val="21"/>
                <w:highlight w:val="none"/>
                <w14:textFill>
                  <w14:solidFill>
                    <w14:schemeClr w14:val="tx1"/>
                  </w14:solidFill>
                </w14:textFill>
              </w:rPr>
              <w:t>渣</w:t>
            </w:r>
            <w:r>
              <w:rPr>
                <w:rFonts w:hint="eastAsia"/>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反应釜</w:t>
            </w:r>
            <w:r>
              <w:rPr>
                <w:rFonts w:hint="eastAsia"/>
                <w:color w:val="000000" w:themeColor="text1"/>
                <w:sz w:val="21"/>
                <w:szCs w:val="21"/>
                <w:highlight w:val="none"/>
                <w14:textFill>
                  <w14:solidFill>
                    <w14:schemeClr w14:val="tx1"/>
                  </w14:solidFill>
                </w14:textFill>
              </w:rPr>
              <w:t>底渣</w:t>
            </w:r>
            <w:r>
              <w:rPr>
                <w:rFonts w:hint="eastAsia"/>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胶过滤</w:t>
            </w:r>
            <w:r>
              <w:rPr>
                <w:rFonts w:hint="eastAsia"/>
                <w:color w:val="000000" w:themeColor="text1"/>
                <w:sz w:val="21"/>
                <w:szCs w:val="21"/>
                <w:highlight w:val="none"/>
                <w14:textFill>
                  <w14:solidFill>
                    <w14:schemeClr w14:val="tx1"/>
                  </w14:solidFill>
                </w14:textFill>
              </w:rPr>
              <w:t>渣</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1.4</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0t/a</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1.4</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有机溶剂、甲醛有机废液及废酸、废碱等实验废液及沾染上述物质的</w:t>
            </w:r>
            <w:r>
              <w:rPr>
                <w:rFonts w:hint="eastAsia" w:cs="Times New Roman"/>
                <w:color w:val="000000" w:themeColor="text1"/>
                <w:sz w:val="21"/>
                <w:szCs w:val="21"/>
                <w:highlight w:val="none"/>
                <w14:textFill>
                  <w14:solidFill>
                    <w14:schemeClr w14:val="tx1"/>
                  </w14:solidFill>
                </w14:textFill>
              </w:rPr>
              <w:t>一次性实验用品</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0.5</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0t/a</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0.5</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废矿物油</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w:t>
            </w:r>
            <w:r>
              <w:rPr>
                <w:rFonts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0t/a</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w:t>
            </w:r>
            <w:r>
              <w:rPr>
                <w:rFonts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tcBorders>
              <w:left w:val="single" w:color="auto" w:sz="8" w:space="0"/>
              <w:right w:val="single" w:color="auto" w:sz="4" w:space="0"/>
            </w:tcBorders>
            <w:shd w:val="clear" w:color="auto" w:fill="auto"/>
            <w:vAlign w:val="center"/>
          </w:tcPr>
          <w:p>
            <w:pPr>
              <w:pStyle w:val="38"/>
              <w:keepNext w:val="0"/>
              <w:keepLines w:val="0"/>
              <w:pageBreakBefore w:val="0"/>
              <w:widowControl/>
              <w:kinsoku/>
              <w:wordWrap/>
              <w:overflowPunct/>
              <w:topLinePunct w:val="0"/>
              <w:bidi w:val="0"/>
              <w:spacing w:beforeLines="0" w:beforeAutospacing="0" w:afterLines="0" w:afterAutospacing="0" w:line="240" w:lineRule="auto"/>
              <w:rPr>
                <w:rFonts w:hint="default" w:ascii="Times New Roman"/>
                <w:snapToGrid w:val="0"/>
                <w:color w:val="000000" w:themeColor="text1"/>
                <w:kern w:val="21"/>
                <w:sz w:val="21"/>
                <w:szCs w:val="21"/>
                <w:highlight w:val="none"/>
                <w14:textFill>
                  <w14:solidFill>
                    <w14:schemeClr w14:val="tx1"/>
                  </w14:solidFill>
                </w14:textFill>
              </w:rPr>
            </w:pP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废油桶及</w:t>
            </w:r>
            <w:r>
              <w:rPr>
                <w:rFonts w:hint="eastAsia" w:cs="Times New Roman"/>
                <w:color w:val="000000" w:themeColor="text1"/>
                <w:sz w:val="21"/>
                <w:szCs w:val="21"/>
                <w:highlight w:val="none"/>
                <w14:textFill>
                  <w14:solidFill>
                    <w14:schemeClr w14:val="tx1"/>
                  </w14:solidFill>
                </w14:textFill>
              </w:rPr>
              <w:t>其他</w:t>
            </w:r>
            <w:r>
              <w:rPr>
                <w:rFonts w:hint="eastAsia"/>
                <w:color w:val="000000" w:themeColor="text1"/>
                <w:sz w:val="21"/>
                <w:szCs w:val="21"/>
                <w:highlight w:val="none"/>
                <w14:textFill>
                  <w14:solidFill>
                    <w14:schemeClr w14:val="tx1"/>
                  </w14:solidFill>
                </w14:textFill>
              </w:rPr>
              <w:t>危险化学品</w:t>
            </w:r>
            <w:r>
              <w:rPr>
                <w:rFonts w:hint="eastAsia" w:cs="Times New Roman"/>
                <w:color w:val="000000" w:themeColor="text1"/>
                <w:sz w:val="21"/>
                <w:szCs w:val="21"/>
                <w:highlight w:val="none"/>
                <w14:textFill>
                  <w14:solidFill>
                    <w14:schemeClr w14:val="tx1"/>
                  </w14:solidFill>
                </w14:textFill>
              </w:rPr>
              <w:t>废包装物</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0t/a</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beforeAutospacing="0" w:afterAutospacing="0" w:line="240" w:lineRule="auto"/>
              <w:jc w:val="center"/>
              <w:textAlignment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0t/a</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kinsoku/>
              <w:wordWrap/>
              <w:overflowPunct/>
              <w:topLinePunct w:val="0"/>
              <w:bidi w:val="0"/>
              <w:spacing w:beforeAutospacing="0" w:after="0" w:afterAutospacing="0" w:line="240" w:lineRule="auto"/>
              <w:jc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ascii="Times New Roman" w:hAnsi="Times New Roman" w:eastAsia="宋体" w:cs="Times New Roman"/>
                <w:color w:val="000000" w:themeColor="text1"/>
                <w:sz w:val="21"/>
                <w:szCs w:val="21"/>
                <w:highlight w:val="none"/>
                <w:lang w:bidi="ar"/>
                <w14:textFill>
                  <w14:solidFill>
                    <w14:schemeClr w14:val="tx1"/>
                  </w14:solidFill>
                </w14:textFill>
              </w:rPr>
              <w:t>t/a</w:t>
            </w:r>
          </w:p>
        </w:tc>
        <w:tc>
          <w:tcPr>
            <w:tcW w:w="124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kinsoku/>
              <w:wordWrap/>
              <w:overflowPunct/>
              <w:topLinePunct w:val="0"/>
              <w:bidi w:val="0"/>
              <w:spacing w:beforeAutospacing="0" w:afterAutospacing="0" w:line="240" w:lineRule="auto"/>
              <w:jc w:val="center"/>
              <w:rPr>
                <w:rFonts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t/a</w:t>
            </w:r>
          </w:p>
        </w:tc>
      </w:tr>
    </w:tbl>
    <w:p>
      <w:pPr>
        <w:pStyle w:val="38"/>
        <w:widowControl/>
        <w:spacing w:before="249" w:beforeLines="80" w:after="31"/>
        <w:jc w:val="left"/>
        <w:rPr>
          <w:rFonts w:hint="default" w:hAnsi="宋体"/>
          <w:color w:val="000000" w:themeColor="text1"/>
          <w:spacing w:val="-6"/>
          <w:kern w:val="21"/>
          <w:szCs w:val="21"/>
          <w:highlight w:val="none"/>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color w:val="000000" w:themeColor="text1"/>
          <w:spacing w:val="-1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⑥</w:t>
      </w:r>
      <w:r>
        <w:rPr>
          <w:rFonts w:hAnsi="宋体"/>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①</w:t>
      </w:r>
      <w:r>
        <w:rPr>
          <w:rFonts w:hAnsi="宋体"/>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③</w:t>
      </w:r>
      <w:r>
        <w:rPr>
          <w:rFonts w:hAnsi="宋体"/>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④</w:t>
      </w:r>
      <w:r>
        <w:rPr>
          <w:rFonts w:hAnsi="宋体"/>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color w:val="000000" w:themeColor="text1"/>
          <w:spacing w:val="-1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⑤</w:t>
      </w:r>
      <w:r>
        <w:rPr>
          <w:rFonts w:hAnsi="宋体"/>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⑦</w:t>
      </w:r>
      <w:r>
        <w:rPr>
          <w:rFonts w:hAnsi="宋体"/>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color w:val="000000" w:themeColor="text1"/>
          <w:spacing w:val="-1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⑥</w:t>
      </w:r>
      <w:r>
        <w:rPr>
          <w:rFonts w:hAnsi="宋体"/>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①</w:t>
      </w:r>
      <w:r>
        <w:rPr>
          <w:rFonts w:hAnsi="宋体"/>
          <w:color w:val="000000" w:themeColor="text1"/>
          <w:spacing w:val="-6"/>
          <w:kern w:val="21"/>
          <w:szCs w:val="21"/>
          <w:highlight w:val="none"/>
          <w14:textFill>
            <w14:solidFill>
              <w14:schemeClr w14:val="tx1"/>
            </w14:solidFill>
          </w14:textFill>
        </w:rPr>
        <w:fldChar w:fldCharType="end"/>
      </w:r>
    </w:p>
    <w:p>
      <w:pPr>
        <w:rPr>
          <w:color w:val="000000" w:themeColor="text1"/>
          <w:highlight w:val="none"/>
          <w14:textFill>
            <w14:solidFill>
              <w14:schemeClr w14:val="tx1"/>
            </w14:solidFill>
          </w14:textFill>
        </w:rPr>
      </w:pPr>
      <w:r>
        <w:rPr>
          <w:rFonts w:hint="eastAsia" w:eastAsia="黑体"/>
          <w:color w:val="000000" w:themeColor="text1"/>
          <w:szCs w:val="21"/>
          <w:highlight w:val="none"/>
          <w14:textFill>
            <w14:solidFill>
              <w14:schemeClr w14:val="tx1"/>
            </w14:solidFill>
          </w14:textFill>
        </w:rPr>
        <w:t>（注：</w:t>
      </w:r>
      <w:r>
        <w:rPr>
          <w:rFonts w:hint="eastAsia"/>
          <w:color w:val="000000" w:themeColor="text1"/>
          <w:szCs w:val="21"/>
          <w:highlight w:val="none"/>
          <w14:textFill>
            <w14:solidFill>
              <w14:schemeClr w14:val="tx1"/>
            </w14:solidFill>
          </w14:textFill>
        </w:rPr>
        <w:t>填写建设项目污染物排放量汇总表，其中现有工程污染物排放情况根据排污许可证执行报告填写，无排污许可证执行报告或执行报告中无相关内容的，通过监测数据核算现有工程污染物排放情况。</w:t>
      </w:r>
      <w:r>
        <w:rPr>
          <w:rFonts w:hint="eastAsia" w:eastAsia="黑体"/>
          <w:color w:val="000000" w:themeColor="text1"/>
          <w:szCs w:val="21"/>
          <w:highlight w:val="none"/>
          <w14:textFill>
            <w14:solidFill>
              <w14:schemeClr w14:val="tx1"/>
            </w14:solidFill>
          </w14:textFill>
        </w:rPr>
        <w:t>）</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color w:val="000000" w:themeColor="text1"/>
          <w:highlight w:val="none"/>
          <w:lang w:eastAsia="zh-CN"/>
          <w14:textFill>
            <w14:solidFill>
              <w14:schemeClr w14:val="tx1"/>
            </w14:solidFill>
          </w14:textFill>
        </w:rPr>
        <w:sectPr>
          <w:footerReference r:id="rId5" w:type="default"/>
          <w:pgSz w:w="16838" w:h="11906" w:orient="landscape"/>
          <w:pgMar w:top="1531" w:right="1702" w:bottom="1531" w:left="1702" w:header="851" w:footer="851" w:gutter="0"/>
          <w:cols w:space="425" w:num="1"/>
          <w:docGrid w:type="lines" w:linePitch="312" w:charSpace="0"/>
        </w:sectPr>
      </w:pPr>
    </w:p>
    <w:p>
      <w:pPr>
        <w:rPr>
          <w:rFonts w:hint="eastAsia"/>
          <w:color w:val="000000" w:themeColor="text1"/>
          <w:highlight w:val="none"/>
          <w:lang w:eastAsia="zh-CN"/>
          <w14:textFill>
            <w14:solidFill>
              <w14:schemeClr w14:val="tx1"/>
            </w14:solidFill>
          </w14:textFill>
        </w:rPr>
        <w:sectPr>
          <w:pgSz w:w="11906" w:h="16838"/>
          <w:pgMar w:top="1702" w:right="1531" w:bottom="1702" w:left="1531" w:header="851" w:footer="851" w:gutter="0"/>
          <w:cols w:space="425" w:num="1"/>
          <w:docGrid w:type="lines" w:linePitch="312" w:charSpace="0"/>
        </w:sect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color w:val="000000" w:themeColor="text1"/>
          <w:sz w:val="18"/>
          <w:szCs w:val="18"/>
          <w:highlight w:val="none"/>
          <w:lang w:val="en-US" w:eastAsia="zh-CN"/>
          <w14:textFill>
            <w14:solidFill>
              <w14:schemeClr w14:val="tx1"/>
            </w14:solidFill>
          </w14:textFill>
        </w:rPr>
      </w:pPr>
      <w:bookmarkStart w:id="23" w:name="_GoBack"/>
      <w:bookmarkEnd w:id="23"/>
    </w:p>
    <w:sectPr>
      <w:pgSz w:w="11906" w:h="16838"/>
      <w:pgMar w:top="1702" w:right="1531" w:bottom="1702" w:left="1531"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宋体_..">
    <w:altName w:val="宋体"/>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方正小标宋_GBK">
    <w:altName w:val="微软雅黑"/>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S Mincho">
    <w:panose1 w:val="02020609040205080304"/>
    <w:charset w:val="80"/>
    <w:family w:val="modern"/>
    <w:pitch w:val="default"/>
    <w:sig w:usb0="A00002BF" w:usb1="68C7FCFB" w:usb2="00000010" w:usb3="00000000" w:csb0="4002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0121795"/>
    </w:sdtPr>
    <w:sdtEndPr>
      <w:rPr>
        <w:rFonts w:ascii="Times New Roman" w:hAnsi="Times New Roman" w:cs="Times New Roman"/>
      </w:rPr>
    </w:sdtEndPr>
    <w:sdtContent>
      <w:p>
        <w:pPr>
          <w:pStyle w:val="12"/>
          <w:ind w:left="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20"/>
      <w:jc w:val="center"/>
      <w:rPr>
        <w:rFonts w:ascii="Times New Roman" w:hAnsi="Times New Roman"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7A6F43"/>
    <w:multiLevelType w:val="singleLevel"/>
    <w:tmpl w:val="B77A6F43"/>
    <w:lvl w:ilvl="0" w:tentative="0">
      <w:start w:val="8"/>
      <w:numFmt w:val="decimal"/>
      <w:suff w:val="nothing"/>
      <w:lvlText w:val="（%1）"/>
      <w:lvlJc w:val="left"/>
    </w:lvl>
  </w:abstractNum>
  <w:abstractNum w:abstractNumId="1">
    <w:nsid w:val="CCB2DC84"/>
    <w:multiLevelType w:val="singleLevel"/>
    <w:tmpl w:val="CCB2DC84"/>
    <w:lvl w:ilvl="0" w:tentative="0">
      <w:start w:val="2"/>
      <w:numFmt w:val="decimal"/>
      <w:suff w:val="nothing"/>
      <w:lvlText w:val="（%1）"/>
      <w:lvlJc w:val="left"/>
    </w:lvl>
  </w:abstractNum>
  <w:abstractNum w:abstractNumId="2">
    <w:nsid w:val="E356E884"/>
    <w:multiLevelType w:val="singleLevel"/>
    <w:tmpl w:val="E356E884"/>
    <w:lvl w:ilvl="0" w:tentative="0">
      <w:start w:val="6"/>
      <w:numFmt w:val="decimal"/>
      <w:suff w:val="nothing"/>
      <w:lvlText w:val="%1、"/>
      <w:lvlJc w:val="left"/>
    </w:lvl>
  </w:abstractNum>
  <w:abstractNum w:abstractNumId="3">
    <w:nsid w:val="F4164F3A"/>
    <w:multiLevelType w:val="singleLevel"/>
    <w:tmpl w:val="F4164F3A"/>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4">
    <w:nsid w:val="20D414C3"/>
    <w:multiLevelType w:val="multilevel"/>
    <w:tmpl w:val="20D414C3"/>
    <w:lvl w:ilvl="0" w:tentative="0">
      <w:start w:val="1"/>
      <w:numFmt w:val="decimal"/>
      <w:lvlText w:val="图1-%1"/>
      <w:lvlJc w:val="left"/>
      <w:pPr>
        <w:ind w:left="842" w:hanging="420"/>
      </w:pPr>
      <w:rPr>
        <w:rFonts w:hint="default" w:ascii="Times New Roman" w:hAnsi="Times New Roman" w:cs="Times New Roman"/>
        <w:b/>
        <w:bCs/>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2A425147"/>
    <w:multiLevelType w:val="multilevel"/>
    <w:tmpl w:val="2A425147"/>
    <w:lvl w:ilvl="0" w:tentative="0">
      <w:start w:val="1"/>
      <w:numFmt w:val="decimal"/>
      <w:lvlText w:val="表1-%1"/>
      <w:lvlJc w:val="left"/>
      <w:pPr>
        <w:ind w:left="842" w:hanging="420"/>
      </w:pPr>
      <w:rPr>
        <w:rFonts w:hint="default" w:ascii="Times New Roman" w:hAnsi="Times New Roman" w:cs="Times New Roman"/>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6">
    <w:nsid w:val="3DA8088F"/>
    <w:multiLevelType w:val="multilevel"/>
    <w:tmpl w:val="3DA8088F"/>
    <w:lvl w:ilvl="0" w:tentative="0">
      <w:start w:val="1"/>
      <w:numFmt w:val="decimal"/>
      <w:lvlText w:val="表4-%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0523F39"/>
    <w:multiLevelType w:val="multilevel"/>
    <w:tmpl w:val="40523F39"/>
    <w:lvl w:ilvl="0" w:tentative="0">
      <w:start w:val="1"/>
      <w:numFmt w:val="decimal"/>
      <w:lvlText w:val="表2-%1"/>
      <w:lvlJc w:val="left"/>
      <w:pPr>
        <w:ind w:left="980" w:hanging="420"/>
      </w:pPr>
      <w:rPr>
        <w:rFonts w:hint="default" w:ascii="Times New Roman" w:hAnsi="Times New Roman" w:cs="Times New Roman"/>
        <w:b/>
        <w:bC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587A0062"/>
    <w:multiLevelType w:val="multilevel"/>
    <w:tmpl w:val="587A0062"/>
    <w:lvl w:ilvl="0" w:tentative="0">
      <w:start w:val="1"/>
      <w:numFmt w:val="decimal"/>
      <w:lvlText w:val="表3-%1"/>
      <w:lvlJc w:val="left"/>
      <w:pPr>
        <w:ind w:left="420" w:hanging="420"/>
      </w:pPr>
      <w:rPr>
        <w:rFonts w:hint="default" w:ascii="Times New Roman" w:hAnsi="Times New Roman" w:cs="Times New Roman"/>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E7C3CB5"/>
    <w:multiLevelType w:val="singleLevel"/>
    <w:tmpl w:val="5E7C3CB5"/>
    <w:lvl w:ilvl="0" w:tentative="0">
      <w:start w:val="1"/>
      <w:numFmt w:val="decimal"/>
      <w:suff w:val="nothing"/>
      <w:lvlText w:val="（%1）"/>
      <w:lvlJc w:val="left"/>
    </w:lvl>
  </w:abstractNum>
  <w:abstractNum w:abstractNumId="10">
    <w:nsid w:val="6C9A0BD6"/>
    <w:multiLevelType w:val="multilevel"/>
    <w:tmpl w:val="6C9A0BD6"/>
    <w:lvl w:ilvl="0" w:tentative="0">
      <w:start w:val="1"/>
      <w:numFmt w:val="decimal"/>
      <w:lvlText w:val="表1-%1"/>
      <w:lvlJc w:val="left"/>
      <w:pPr>
        <w:ind w:left="980" w:hanging="420"/>
      </w:pPr>
      <w:rPr>
        <w:rFonts w:hint="default" w:ascii="Times New Roman" w:hAnsi="Times New Roman" w:eastAsia="宋体" w:cs="Times New Roman"/>
        <w:b/>
        <w:bCs w:val="0"/>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7AAE33C5"/>
    <w:multiLevelType w:val="multilevel"/>
    <w:tmpl w:val="7AAE33C5"/>
    <w:lvl w:ilvl="0" w:tentative="0">
      <w:start w:val="1"/>
      <w:numFmt w:val="decimal"/>
      <w:lvlText w:val="图2-%1"/>
      <w:lvlJc w:val="left"/>
      <w:pPr>
        <w:ind w:left="980" w:hanging="420"/>
      </w:pPr>
      <w:rPr>
        <w:rFonts w:hint="default" w:ascii="Times New Roman" w:hAnsi="Times New Roman" w:eastAsia="宋体" w:cs="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9"/>
  </w:num>
  <w:num w:numId="3">
    <w:abstractNumId w:val="5"/>
  </w:num>
  <w:num w:numId="4">
    <w:abstractNumId w:val="10"/>
  </w:num>
  <w:num w:numId="5">
    <w:abstractNumId w:val="4"/>
  </w:num>
  <w:num w:numId="6">
    <w:abstractNumId w:val="7"/>
  </w:num>
  <w:num w:numId="7">
    <w:abstractNumId w:val="11"/>
  </w:num>
  <w:num w:numId="8">
    <w:abstractNumId w:val="8"/>
  </w:num>
  <w:num w:numId="9">
    <w:abstractNumId w:val="6"/>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c0MDZmYjI1ODZhZmRiNjU0NDRjYjcwMDM2YTFjOWEifQ=="/>
  </w:docVars>
  <w:rsids>
    <w:rsidRoot w:val="00172A27"/>
    <w:rsid w:val="00000356"/>
    <w:rsid w:val="00001498"/>
    <w:rsid w:val="00001F15"/>
    <w:rsid w:val="000026EE"/>
    <w:rsid w:val="000037AC"/>
    <w:rsid w:val="00004191"/>
    <w:rsid w:val="000067EC"/>
    <w:rsid w:val="00006B1B"/>
    <w:rsid w:val="00013EF6"/>
    <w:rsid w:val="00014521"/>
    <w:rsid w:val="00016ED1"/>
    <w:rsid w:val="00016FA9"/>
    <w:rsid w:val="00017938"/>
    <w:rsid w:val="00021306"/>
    <w:rsid w:val="000223DE"/>
    <w:rsid w:val="0002273F"/>
    <w:rsid w:val="0002338D"/>
    <w:rsid w:val="00023EF8"/>
    <w:rsid w:val="00026FA7"/>
    <w:rsid w:val="0002752B"/>
    <w:rsid w:val="000302FE"/>
    <w:rsid w:val="00032124"/>
    <w:rsid w:val="00032EBF"/>
    <w:rsid w:val="00036A1B"/>
    <w:rsid w:val="000370CA"/>
    <w:rsid w:val="000378A2"/>
    <w:rsid w:val="0004198B"/>
    <w:rsid w:val="000433D3"/>
    <w:rsid w:val="00044B31"/>
    <w:rsid w:val="00044B6C"/>
    <w:rsid w:val="00044E35"/>
    <w:rsid w:val="00044EC1"/>
    <w:rsid w:val="00045055"/>
    <w:rsid w:val="000454D0"/>
    <w:rsid w:val="000456C0"/>
    <w:rsid w:val="00047ECA"/>
    <w:rsid w:val="00050D17"/>
    <w:rsid w:val="00053D53"/>
    <w:rsid w:val="00054891"/>
    <w:rsid w:val="00054FD9"/>
    <w:rsid w:val="00055CF7"/>
    <w:rsid w:val="000566C6"/>
    <w:rsid w:val="00057B0C"/>
    <w:rsid w:val="000602E7"/>
    <w:rsid w:val="00060625"/>
    <w:rsid w:val="00060C6D"/>
    <w:rsid w:val="000623F6"/>
    <w:rsid w:val="000626D7"/>
    <w:rsid w:val="00063B1F"/>
    <w:rsid w:val="00064420"/>
    <w:rsid w:val="00064F35"/>
    <w:rsid w:val="000661E9"/>
    <w:rsid w:val="00066486"/>
    <w:rsid w:val="00066B0C"/>
    <w:rsid w:val="00066CAB"/>
    <w:rsid w:val="00070052"/>
    <w:rsid w:val="00070156"/>
    <w:rsid w:val="0007234B"/>
    <w:rsid w:val="00073F97"/>
    <w:rsid w:val="00074546"/>
    <w:rsid w:val="000746E1"/>
    <w:rsid w:val="0007671A"/>
    <w:rsid w:val="000775A2"/>
    <w:rsid w:val="00077F91"/>
    <w:rsid w:val="00083299"/>
    <w:rsid w:val="0008407A"/>
    <w:rsid w:val="00084EE7"/>
    <w:rsid w:val="00084FAE"/>
    <w:rsid w:val="0008603F"/>
    <w:rsid w:val="00086564"/>
    <w:rsid w:val="000866F6"/>
    <w:rsid w:val="0008697E"/>
    <w:rsid w:val="00090EE2"/>
    <w:rsid w:val="00093BAA"/>
    <w:rsid w:val="00094051"/>
    <w:rsid w:val="000966A7"/>
    <w:rsid w:val="00097CED"/>
    <w:rsid w:val="00097E54"/>
    <w:rsid w:val="000A1507"/>
    <w:rsid w:val="000A249E"/>
    <w:rsid w:val="000A4A77"/>
    <w:rsid w:val="000A4BE4"/>
    <w:rsid w:val="000A6AEC"/>
    <w:rsid w:val="000B1006"/>
    <w:rsid w:val="000B12DA"/>
    <w:rsid w:val="000B2226"/>
    <w:rsid w:val="000B4A79"/>
    <w:rsid w:val="000B5F48"/>
    <w:rsid w:val="000B6749"/>
    <w:rsid w:val="000B6B50"/>
    <w:rsid w:val="000C0D64"/>
    <w:rsid w:val="000C245E"/>
    <w:rsid w:val="000C2A27"/>
    <w:rsid w:val="000C3BFF"/>
    <w:rsid w:val="000C4A1A"/>
    <w:rsid w:val="000C4DA1"/>
    <w:rsid w:val="000C634F"/>
    <w:rsid w:val="000D0AE8"/>
    <w:rsid w:val="000D1C6B"/>
    <w:rsid w:val="000D2858"/>
    <w:rsid w:val="000D3F37"/>
    <w:rsid w:val="000D49A3"/>
    <w:rsid w:val="000D4D46"/>
    <w:rsid w:val="000D5397"/>
    <w:rsid w:val="000D5672"/>
    <w:rsid w:val="000D5EFD"/>
    <w:rsid w:val="000D684D"/>
    <w:rsid w:val="000D6A50"/>
    <w:rsid w:val="000D78DB"/>
    <w:rsid w:val="000E0639"/>
    <w:rsid w:val="000E3F13"/>
    <w:rsid w:val="000E449F"/>
    <w:rsid w:val="000E6525"/>
    <w:rsid w:val="000F1617"/>
    <w:rsid w:val="000F17D6"/>
    <w:rsid w:val="000F27F8"/>
    <w:rsid w:val="000F28DE"/>
    <w:rsid w:val="000F2DE3"/>
    <w:rsid w:val="000F60A8"/>
    <w:rsid w:val="000F6C8E"/>
    <w:rsid w:val="000F6E2E"/>
    <w:rsid w:val="000F7620"/>
    <w:rsid w:val="00100324"/>
    <w:rsid w:val="00113C12"/>
    <w:rsid w:val="00114CD4"/>
    <w:rsid w:val="00115BD8"/>
    <w:rsid w:val="001228BE"/>
    <w:rsid w:val="00124EA1"/>
    <w:rsid w:val="00125866"/>
    <w:rsid w:val="00126F33"/>
    <w:rsid w:val="001274DE"/>
    <w:rsid w:val="00130316"/>
    <w:rsid w:val="00130D2E"/>
    <w:rsid w:val="00131113"/>
    <w:rsid w:val="00134DF3"/>
    <w:rsid w:val="001415C2"/>
    <w:rsid w:val="00143648"/>
    <w:rsid w:val="00143E66"/>
    <w:rsid w:val="00144A1A"/>
    <w:rsid w:val="001468B0"/>
    <w:rsid w:val="00155AB8"/>
    <w:rsid w:val="00156E91"/>
    <w:rsid w:val="001575DF"/>
    <w:rsid w:val="00157752"/>
    <w:rsid w:val="00160446"/>
    <w:rsid w:val="001625BB"/>
    <w:rsid w:val="001631AF"/>
    <w:rsid w:val="0016625C"/>
    <w:rsid w:val="001669D4"/>
    <w:rsid w:val="001676A4"/>
    <w:rsid w:val="00170876"/>
    <w:rsid w:val="0017097D"/>
    <w:rsid w:val="00172A27"/>
    <w:rsid w:val="0017487E"/>
    <w:rsid w:val="00177A49"/>
    <w:rsid w:val="00182E0F"/>
    <w:rsid w:val="0018324A"/>
    <w:rsid w:val="00184FB8"/>
    <w:rsid w:val="00186A9F"/>
    <w:rsid w:val="00186D7C"/>
    <w:rsid w:val="0018718F"/>
    <w:rsid w:val="0019021D"/>
    <w:rsid w:val="001915E7"/>
    <w:rsid w:val="001945E0"/>
    <w:rsid w:val="001955BB"/>
    <w:rsid w:val="00195968"/>
    <w:rsid w:val="001A1AC1"/>
    <w:rsid w:val="001A1FA9"/>
    <w:rsid w:val="001A58DB"/>
    <w:rsid w:val="001A5F69"/>
    <w:rsid w:val="001A7C1F"/>
    <w:rsid w:val="001B1D63"/>
    <w:rsid w:val="001B3450"/>
    <w:rsid w:val="001B44BE"/>
    <w:rsid w:val="001B5A11"/>
    <w:rsid w:val="001C0D4B"/>
    <w:rsid w:val="001C0D60"/>
    <w:rsid w:val="001C109E"/>
    <w:rsid w:val="001C163B"/>
    <w:rsid w:val="001C1A3B"/>
    <w:rsid w:val="001C1BFD"/>
    <w:rsid w:val="001C2868"/>
    <w:rsid w:val="001C2ADF"/>
    <w:rsid w:val="001C2BB2"/>
    <w:rsid w:val="001C4E7B"/>
    <w:rsid w:val="001C6608"/>
    <w:rsid w:val="001D0880"/>
    <w:rsid w:val="001D6BC9"/>
    <w:rsid w:val="001E1DC7"/>
    <w:rsid w:val="001E43E4"/>
    <w:rsid w:val="001E5C71"/>
    <w:rsid w:val="001E5EDD"/>
    <w:rsid w:val="001E5F3A"/>
    <w:rsid w:val="001E7556"/>
    <w:rsid w:val="001E77FD"/>
    <w:rsid w:val="001F0E16"/>
    <w:rsid w:val="001F1E41"/>
    <w:rsid w:val="001F359E"/>
    <w:rsid w:val="001F363C"/>
    <w:rsid w:val="001F4216"/>
    <w:rsid w:val="001F48EE"/>
    <w:rsid w:val="001F4A02"/>
    <w:rsid w:val="001F5028"/>
    <w:rsid w:val="001F6BC4"/>
    <w:rsid w:val="001F6E14"/>
    <w:rsid w:val="001F7399"/>
    <w:rsid w:val="00200C57"/>
    <w:rsid w:val="00202C26"/>
    <w:rsid w:val="00202E5B"/>
    <w:rsid w:val="00203AD5"/>
    <w:rsid w:val="00204057"/>
    <w:rsid w:val="002055BB"/>
    <w:rsid w:val="00205AA1"/>
    <w:rsid w:val="00207651"/>
    <w:rsid w:val="00211E8C"/>
    <w:rsid w:val="00212291"/>
    <w:rsid w:val="002156A3"/>
    <w:rsid w:val="002159B6"/>
    <w:rsid w:val="0022257E"/>
    <w:rsid w:val="002234C4"/>
    <w:rsid w:val="0022377B"/>
    <w:rsid w:val="00223DEF"/>
    <w:rsid w:val="00225ED7"/>
    <w:rsid w:val="00226BA0"/>
    <w:rsid w:val="00227AC1"/>
    <w:rsid w:val="00230AC9"/>
    <w:rsid w:val="00230E1E"/>
    <w:rsid w:val="00232B96"/>
    <w:rsid w:val="002359DE"/>
    <w:rsid w:val="002373EC"/>
    <w:rsid w:val="00237964"/>
    <w:rsid w:val="0024106B"/>
    <w:rsid w:val="0024161B"/>
    <w:rsid w:val="0024176E"/>
    <w:rsid w:val="0024306D"/>
    <w:rsid w:val="002436DA"/>
    <w:rsid w:val="0024386A"/>
    <w:rsid w:val="002441E3"/>
    <w:rsid w:val="002444B2"/>
    <w:rsid w:val="00246C03"/>
    <w:rsid w:val="002471BE"/>
    <w:rsid w:val="0024793B"/>
    <w:rsid w:val="0024795B"/>
    <w:rsid w:val="00247D9F"/>
    <w:rsid w:val="00250748"/>
    <w:rsid w:val="00250A04"/>
    <w:rsid w:val="00250DBA"/>
    <w:rsid w:val="00252FED"/>
    <w:rsid w:val="002540DB"/>
    <w:rsid w:val="00254AAD"/>
    <w:rsid w:val="00254DEB"/>
    <w:rsid w:val="00256746"/>
    <w:rsid w:val="00260F6C"/>
    <w:rsid w:val="00262247"/>
    <w:rsid w:val="00262A1C"/>
    <w:rsid w:val="00263611"/>
    <w:rsid w:val="00263E6F"/>
    <w:rsid w:val="00263F95"/>
    <w:rsid w:val="00265816"/>
    <w:rsid w:val="00266FA9"/>
    <w:rsid w:val="002677BF"/>
    <w:rsid w:val="00267908"/>
    <w:rsid w:val="00270D80"/>
    <w:rsid w:val="00271733"/>
    <w:rsid w:val="00271AA9"/>
    <w:rsid w:val="00272BD2"/>
    <w:rsid w:val="00276615"/>
    <w:rsid w:val="00280CAB"/>
    <w:rsid w:val="00281C8B"/>
    <w:rsid w:val="00281F94"/>
    <w:rsid w:val="00282757"/>
    <w:rsid w:val="00285D08"/>
    <w:rsid w:val="00286C94"/>
    <w:rsid w:val="00287323"/>
    <w:rsid w:val="00290053"/>
    <w:rsid w:val="00291F6B"/>
    <w:rsid w:val="00292DD7"/>
    <w:rsid w:val="00294068"/>
    <w:rsid w:val="00295D70"/>
    <w:rsid w:val="0029789F"/>
    <w:rsid w:val="002979D4"/>
    <w:rsid w:val="00297A82"/>
    <w:rsid w:val="002A25ED"/>
    <w:rsid w:val="002A291B"/>
    <w:rsid w:val="002A2E3D"/>
    <w:rsid w:val="002A3E3C"/>
    <w:rsid w:val="002A40AA"/>
    <w:rsid w:val="002A43B6"/>
    <w:rsid w:val="002A559E"/>
    <w:rsid w:val="002A77A6"/>
    <w:rsid w:val="002B1B92"/>
    <w:rsid w:val="002B31FE"/>
    <w:rsid w:val="002B3DA4"/>
    <w:rsid w:val="002B4B2E"/>
    <w:rsid w:val="002B722C"/>
    <w:rsid w:val="002B7E44"/>
    <w:rsid w:val="002C0361"/>
    <w:rsid w:val="002C20E2"/>
    <w:rsid w:val="002C3566"/>
    <w:rsid w:val="002C3AF4"/>
    <w:rsid w:val="002C583F"/>
    <w:rsid w:val="002C6627"/>
    <w:rsid w:val="002D4E78"/>
    <w:rsid w:val="002D5386"/>
    <w:rsid w:val="002D5FA8"/>
    <w:rsid w:val="002D7D92"/>
    <w:rsid w:val="002E07CA"/>
    <w:rsid w:val="002E164D"/>
    <w:rsid w:val="002E1E2B"/>
    <w:rsid w:val="002E3DD9"/>
    <w:rsid w:val="002E4137"/>
    <w:rsid w:val="002E4C72"/>
    <w:rsid w:val="002E670B"/>
    <w:rsid w:val="002F5090"/>
    <w:rsid w:val="002F6E85"/>
    <w:rsid w:val="00300031"/>
    <w:rsid w:val="003018F2"/>
    <w:rsid w:val="00301E58"/>
    <w:rsid w:val="0030262A"/>
    <w:rsid w:val="0030537C"/>
    <w:rsid w:val="00305B75"/>
    <w:rsid w:val="0030708B"/>
    <w:rsid w:val="0031001A"/>
    <w:rsid w:val="0031007B"/>
    <w:rsid w:val="00311A91"/>
    <w:rsid w:val="003138D6"/>
    <w:rsid w:val="00313BBE"/>
    <w:rsid w:val="00313EA0"/>
    <w:rsid w:val="003145B6"/>
    <w:rsid w:val="00314D0D"/>
    <w:rsid w:val="00315622"/>
    <w:rsid w:val="00316062"/>
    <w:rsid w:val="00316B00"/>
    <w:rsid w:val="003179FA"/>
    <w:rsid w:val="003222CD"/>
    <w:rsid w:val="00323C78"/>
    <w:rsid w:val="00323F8A"/>
    <w:rsid w:val="003310DE"/>
    <w:rsid w:val="00333921"/>
    <w:rsid w:val="00333C2E"/>
    <w:rsid w:val="003343CF"/>
    <w:rsid w:val="00336A65"/>
    <w:rsid w:val="00337897"/>
    <w:rsid w:val="00344CB4"/>
    <w:rsid w:val="003465B7"/>
    <w:rsid w:val="00347725"/>
    <w:rsid w:val="00350E62"/>
    <w:rsid w:val="003511CE"/>
    <w:rsid w:val="00351661"/>
    <w:rsid w:val="00356742"/>
    <w:rsid w:val="003569F6"/>
    <w:rsid w:val="00357569"/>
    <w:rsid w:val="00360169"/>
    <w:rsid w:val="00360597"/>
    <w:rsid w:val="0036103C"/>
    <w:rsid w:val="00361259"/>
    <w:rsid w:val="003615B9"/>
    <w:rsid w:val="00362ACC"/>
    <w:rsid w:val="003650EB"/>
    <w:rsid w:val="00366238"/>
    <w:rsid w:val="00371B5A"/>
    <w:rsid w:val="00371F41"/>
    <w:rsid w:val="003721F9"/>
    <w:rsid w:val="00376258"/>
    <w:rsid w:val="0038044D"/>
    <w:rsid w:val="003811AE"/>
    <w:rsid w:val="00381B89"/>
    <w:rsid w:val="00383C25"/>
    <w:rsid w:val="00383DEE"/>
    <w:rsid w:val="0038445A"/>
    <w:rsid w:val="003859FA"/>
    <w:rsid w:val="00385F3C"/>
    <w:rsid w:val="00387AF9"/>
    <w:rsid w:val="00390EF8"/>
    <w:rsid w:val="003915CC"/>
    <w:rsid w:val="00392CCA"/>
    <w:rsid w:val="003946EA"/>
    <w:rsid w:val="00394E76"/>
    <w:rsid w:val="003964DC"/>
    <w:rsid w:val="00396613"/>
    <w:rsid w:val="0039798A"/>
    <w:rsid w:val="003A0504"/>
    <w:rsid w:val="003A050C"/>
    <w:rsid w:val="003A0B3B"/>
    <w:rsid w:val="003A23E6"/>
    <w:rsid w:val="003A42A0"/>
    <w:rsid w:val="003A4C71"/>
    <w:rsid w:val="003A5096"/>
    <w:rsid w:val="003A5D3F"/>
    <w:rsid w:val="003A7294"/>
    <w:rsid w:val="003B0C3F"/>
    <w:rsid w:val="003B1FAB"/>
    <w:rsid w:val="003B2013"/>
    <w:rsid w:val="003B30DD"/>
    <w:rsid w:val="003B5F39"/>
    <w:rsid w:val="003B643A"/>
    <w:rsid w:val="003B732B"/>
    <w:rsid w:val="003C17A1"/>
    <w:rsid w:val="003C3427"/>
    <w:rsid w:val="003C371F"/>
    <w:rsid w:val="003C42BF"/>
    <w:rsid w:val="003C4F29"/>
    <w:rsid w:val="003C73C6"/>
    <w:rsid w:val="003D24E9"/>
    <w:rsid w:val="003D285C"/>
    <w:rsid w:val="003D3859"/>
    <w:rsid w:val="003D5776"/>
    <w:rsid w:val="003D612C"/>
    <w:rsid w:val="003D6992"/>
    <w:rsid w:val="003E2D2C"/>
    <w:rsid w:val="003E3F27"/>
    <w:rsid w:val="003E4B84"/>
    <w:rsid w:val="003E6DF4"/>
    <w:rsid w:val="003E778A"/>
    <w:rsid w:val="003E7B8D"/>
    <w:rsid w:val="003F150D"/>
    <w:rsid w:val="003F1C73"/>
    <w:rsid w:val="003F406C"/>
    <w:rsid w:val="003F7D98"/>
    <w:rsid w:val="00401692"/>
    <w:rsid w:val="00401ABB"/>
    <w:rsid w:val="004020E7"/>
    <w:rsid w:val="00402BCB"/>
    <w:rsid w:val="00404CB6"/>
    <w:rsid w:val="00405EA5"/>
    <w:rsid w:val="00410868"/>
    <w:rsid w:val="00410E8F"/>
    <w:rsid w:val="00413F88"/>
    <w:rsid w:val="004143F1"/>
    <w:rsid w:val="0041720F"/>
    <w:rsid w:val="00417DA1"/>
    <w:rsid w:val="004221F2"/>
    <w:rsid w:val="004229C8"/>
    <w:rsid w:val="00423F08"/>
    <w:rsid w:val="00425CB7"/>
    <w:rsid w:val="00426938"/>
    <w:rsid w:val="00427DF3"/>
    <w:rsid w:val="00433A7A"/>
    <w:rsid w:val="00434417"/>
    <w:rsid w:val="00435216"/>
    <w:rsid w:val="00435E62"/>
    <w:rsid w:val="00436B31"/>
    <w:rsid w:val="00437162"/>
    <w:rsid w:val="0044109C"/>
    <w:rsid w:val="00441290"/>
    <w:rsid w:val="00441D1A"/>
    <w:rsid w:val="00444CAA"/>
    <w:rsid w:val="00445070"/>
    <w:rsid w:val="004452D1"/>
    <w:rsid w:val="00445BB6"/>
    <w:rsid w:val="0045028D"/>
    <w:rsid w:val="0045047A"/>
    <w:rsid w:val="0045069E"/>
    <w:rsid w:val="004524AA"/>
    <w:rsid w:val="00454362"/>
    <w:rsid w:val="004545B6"/>
    <w:rsid w:val="00454906"/>
    <w:rsid w:val="004624F9"/>
    <w:rsid w:val="004626E4"/>
    <w:rsid w:val="0046285E"/>
    <w:rsid w:val="00462B80"/>
    <w:rsid w:val="00463E41"/>
    <w:rsid w:val="004642EF"/>
    <w:rsid w:val="004658CA"/>
    <w:rsid w:val="00466ED5"/>
    <w:rsid w:val="0046785A"/>
    <w:rsid w:val="00470592"/>
    <w:rsid w:val="004719BD"/>
    <w:rsid w:val="00475D10"/>
    <w:rsid w:val="00476202"/>
    <w:rsid w:val="0047692F"/>
    <w:rsid w:val="00476DA8"/>
    <w:rsid w:val="00477D60"/>
    <w:rsid w:val="0048032E"/>
    <w:rsid w:val="00480432"/>
    <w:rsid w:val="004810D4"/>
    <w:rsid w:val="00484659"/>
    <w:rsid w:val="00485758"/>
    <w:rsid w:val="00485BEB"/>
    <w:rsid w:val="00486C24"/>
    <w:rsid w:val="00486D59"/>
    <w:rsid w:val="00486F44"/>
    <w:rsid w:val="00487F2E"/>
    <w:rsid w:val="0049041F"/>
    <w:rsid w:val="00490C89"/>
    <w:rsid w:val="00491164"/>
    <w:rsid w:val="00491452"/>
    <w:rsid w:val="00491C20"/>
    <w:rsid w:val="004932BB"/>
    <w:rsid w:val="004932F5"/>
    <w:rsid w:val="00494A03"/>
    <w:rsid w:val="00497514"/>
    <w:rsid w:val="00497F29"/>
    <w:rsid w:val="004A08AD"/>
    <w:rsid w:val="004A154A"/>
    <w:rsid w:val="004A1F83"/>
    <w:rsid w:val="004A2763"/>
    <w:rsid w:val="004A2E3C"/>
    <w:rsid w:val="004A48BE"/>
    <w:rsid w:val="004A48C8"/>
    <w:rsid w:val="004A4C0C"/>
    <w:rsid w:val="004A5A92"/>
    <w:rsid w:val="004A66CC"/>
    <w:rsid w:val="004B07FC"/>
    <w:rsid w:val="004B0AC1"/>
    <w:rsid w:val="004B1BE4"/>
    <w:rsid w:val="004B2335"/>
    <w:rsid w:val="004B3A66"/>
    <w:rsid w:val="004B3D4A"/>
    <w:rsid w:val="004B40C7"/>
    <w:rsid w:val="004B52BD"/>
    <w:rsid w:val="004B5524"/>
    <w:rsid w:val="004B5A34"/>
    <w:rsid w:val="004B5BBE"/>
    <w:rsid w:val="004B6348"/>
    <w:rsid w:val="004B7CBB"/>
    <w:rsid w:val="004B7E5D"/>
    <w:rsid w:val="004C0108"/>
    <w:rsid w:val="004C0C1A"/>
    <w:rsid w:val="004C2217"/>
    <w:rsid w:val="004C3D2C"/>
    <w:rsid w:val="004C4BE1"/>
    <w:rsid w:val="004C6748"/>
    <w:rsid w:val="004C748B"/>
    <w:rsid w:val="004C7824"/>
    <w:rsid w:val="004D2DE3"/>
    <w:rsid w:val="004D3649"/>
    <w:rsid w:val="004D415E"/>
    <w:rsid w:val="004D63D6"/>
    <w:rsid w:val="004D6435"/>
    <w:rsid w:val="004D753A"/>
    <w:rsid w:val="004E0709"/>
    <w:rsid w:val="004E0B8C"/>
    <w:rsid w:val="004E1259"/>
    <w:rsid w:val="004E2B14"/>
    <w:rsid w:val="004E3EAC"/>
    <w:rsid w:val="004E64D4"/>
    <w:rsid w:val="004F1E12"/>
    <w:rsid w:val="004F2877"/>
    <w:rsid w:val="004F2FA5"/>
    <w:rsid w:val="004F440F"/>
    <w:rsid w:val="004F62E2"/>
    <w:rsid w:val="004F733B"/>
    <w:rsid w:val="00501530"/>
    <w:rsid w:val="00501D9C"/>
    <w:rsid w:val="005021ED"/>
    <w:rsid w:val="005038F0"/>
    <w:rsid w:val="005055C4"/>
    <w:rsid w:val="00506165"/>
    <w:rsid w:val="005065B3"/>
    <w:rsid w:val="005066ED"/>
    <w:rsid w:val="005105C0"/>
    <w:rsid w:val="00510B0A"/>
    <w:rsid w:val="00511384"/>
    <w:rsid w:val="0051164A"/>
    <w:rsid w:val="00512475"/>
    <w:rsid w:val="00513B1D"/>
    <w:rsid w:val="00513C5D"/>
    <w:rsid w:val="00515A07"/>
    <w:rsid w:val="005163F4"/>
    <w:rsid w:val="00516BB3"/>
    <w:rsid w:val="005177D7"/>
    <w:rsid w:val="0052263D"/>
    <w:rsid w:val="0052290B"/>
    <w:rsid w:val="00522FA2"/>
    <w:rsid w:val="005268A8"/>
    <w:rsid w:val="0052708A"/>
    <w:rsid w:val="00527A01"/>
    <w:rsid w:val="00531C67"/>
    <w:rsid w:val="00532106"/>
    <w:rsid w:val="00532BAD"/>
    <w:rsid w:val="00532CAB"/>
    <w:rsid w:val="005364B3"/>
    <w:rsid w:val="005365EA"/>
    <w:rsid w:val="00537981"/>
    <w:rsid w:val="00540C8F"/>
    <w:rsid w:val="00543BA5"/>
    <w:rsid w:val="005459CF"/>
    <w:rsid w:val="00545ECC"/>
    <w:rsid w:val="00551218"/>
    <w:rsid w:val="00551CB6"/>
    <w:rsid w:val="0055381B"/>
    <w:rsid w:val="00554A7C"/>
    <w:rsid w:val="00554AAB"/>
    <w:rsid w:val="00555118"/>
    <w:rsid w:val="0055513B"/>
    <w:rsid w:val="00555768"/>
    <w:rsid w:val="005573D7"/>
    <w:rsid w:val="0056175B"/>
    <w:rsid w:val="00562A75"/>
    <w:rsid w:val="00565B5A"/>
    <w:rsid w:val="0056747A"/>
    <w:rsid w:val="00567EBE"/>
    <w:rsid w:val="00570A4A"/>
    <w:rsid w:val="00571C6A"/>
    <w:rsid w:val="005740E6"/>
    <w:rsid w:val="0057428B"/>
    <w:rsid w:val="00574F81"/>
    <w:rsid w:val="00574F9C"/>
    <w:rsid w:val="00576F25"/>
    <w:rsid w:val="005774D8"/>
    <w:rsid w:val="00577F93"/>
    <w:rsid w:val="0058071B"/>
    <w:rsid w:val="00582351"/>
    <w:rsid w:val="0058263C"/>
    <w:rsid w:val="005827C5"/>
    <w:rsid w:val="00582C84"/>
    <w:rsid w:val="00590060"/>
    <w:rsid w:val="005901BC"/>
    <w:rsid w:val="00590A35"/>
    <w:rsid w:val="00590A7D"/>
    <w:rsid w:val="00592454"/>
    <w:rsid w:val="00594453"/>
    <w:rsid w:val="00596BA6"/>
    <w:rsid w:val="00597F23"/>
    <w:rsid w:val="005A13FA"/>
    <w:rsid w:val="005A1580"/>
    <w:rsid w:val="005A2055"/>
    <w:rsid w:val="005A346C"/>
    <w:rsid w:val="005A35E3"/>
    <w:rsid w:val="005A497C"/>
    <w:rsid w:val="005A5DAF"/>
    <w:rsid w:val="005A5E5E"/>
    <w:rsid w:val="005A6E70"/>
    <w:rsid w:val="005B6B01"/>
    <w:rsid w:val="005B7A5C"/>
    <w:rsid w:val="005C13C7"/>
    <w:rsid w:val="005C35C9"/>
    <w:rsid w:val="005C4506"/>
    <w:rsid w:val="005C4842"/>
    <w:rsid w:val="005C58E9"/>
    <w:rsid w:val="005C6064"/>
    <w:rsid w:val="005C62C4"/>
    <w:rsid w:val="005C7BAF"/>
    <w:rsid w:val="005D1A0C"/>
    <w:rsid w:val="005D1C75"/>
    <w:rsid w:val="005D2BCC"/>
    <w:rsid w:val="005D3DFE"/>
    <w:rsid w:val="005D3FDA"/>
    <w:rsid w:val="005D481D"/>
    <w:rsid w:val="005D572C"/>
    <w:rsid w:val="005D59EE"/>
    <w:rsid w:val="005D72D2"/>
    <w:rsid w:val="005D749F"/>
    <w:rsid w:val="005E0D7C"/>
    <w:rsid w:val="005E2808"/>
    <w:rsid w:val="005E3D27"/>
    <w:rsid w:val="005E4364"/>
    <w:rsid w:val="005E48B2"/>
    <w:rsid w:val="005E593B"/>
    <w:rsid w:val="005E7429"/>
    <w:rsid w:val="005E7682"/>
    <w:rsid w:val="005F4805"/>
    <w:rsid w:val="005F4D76"/>
    <w:rsid w:val="005F50CB"/>
    <w:rsid w:val="005F5CD9"/>
    <w:rsid w:val="005F6570"/>
    <w:rsid w:val="005F6DF7"/>
    <w:rsid w:val="005F6EE5"/>
    <w:rsid w:val="005F7287"/>
    <w:rsid w:val="005F73AA"/>
    <w:rsid w:val="006006FA"/>
    <w:rsid w:val="006009BC"/>
    <w:rsid w:val="0060127E"/>
    <w:rsid w:val="00602567"/>
    <w:rsid w:val="00604E8D"/>
    <w:rsid w:val="00604FFC"/>
    <w:rsid w:val="006056A9"/>
    <w:rsid w:val="006057C5"/>
    <w:rsid w:val="0060624E"/>
    <w:rsid w:val="00606616"/>
    <w:rsid w:val="00606D98"/>
    <w:rsid w:val="00607513"/>
    <w:rsid w:val="00610CC1"/>
    <w:rsid w:val="00612732"/>
    <w:rsid w:val="006136A6"/>
    <w:rsid w:val="00613D0F"/>
    <w:rsid w:val="00614288"/>
    <w:rsid w:val="00615EC0"/>
    <w:rsid w:val="006210BD"/>
    <w:rsid w:val="00626372"/>
    <w:rsid w:val="006305D9"/>
    <w:rsid w:val="0063154A"/>
    <w:rsid w:val="0063273B"/>
    <w:rsid w:val="00632CF9"/>
    <w:rsid w:val="00635571"/>
    <w:rsid w:val="0063598B"/>
    <w:rsid w:val="0063742B"/>
    <w:rsid w:val="00644507"/>
    <w:rsid w:val="0064545D"/>
    <w:rsid w:val="0064570B"/>
    <w:rsid w:val="00645AC2"/>
    <w:rsid w:val="006468AA"/>
    <w:rsid w:val="00647796"/>
    <w:rsid w:val="00647A93"/>
    <w:rsid w:val="00647ECF"/>
    <w:rsid w:val="0065043F"/>
    <w:rsid w:val="00650441"/>
    <w:rsid w:val="006522CE"/>
    <w:rsid w:val="00652A4A"/>
    <w:rsid w:val="006539F9"/>
    <w:rsid w:val="0065560C"/>
    <w:rsid w:val="00656AB2"/>
    <w:rsid w:val="00657D70"/>
    <w:rsid w:val="00660B14"/>
    <w:rsid w:val="00661838"/>
    <w:rsid w:val="00662830"/>
    <w:rsid w:val="00662CF1"/>
    <w:rsid w:val="006639A5"/>
    <w:rsid w:val="00664086"/>
    <w:rsid w:val="00664176"/>
    <w:rsid w:val="00664D08"/>
    <w:rsid w:val="00665A26"/>
    <w:rsid w:val="00665C31"/>
    <w:rsid w:val="0066741C"/>
    <w:rsid w:val="006674B7"/>
    <w:rsid w:val="006702D6"/>
    <w:rsid w:val="00671627"/>
    <w:rsid w:val="006725AF"/>
    <w:rsid w:val="00673966"/>
    <w:rsid w:val="006831ED"/>
    <w:rsid w:val="006843D6"/>
    <w:rsid w:val="00684753"/>
    <w:rsid w:val="00685AAA"/>
    <w:rsid w:val="0068691B"/>
    <w:rsid w:val="00692EEA"/>
    <w:rsid w:val="0069526A"/>
    <w:rsid w:val="006A004C"/>
    <w:rsid w:val="006A0C5F"/>
    <w:rsid w:val="006A1517"/>
    <w:rsid w:val="006A210C"/>
    <w:rsid w:val="006A309A"/>
    <w:rsid w:val="006A48FE"/>
    <w:rsid w:val="006A5CDF"/>
    <w:rsid w:val="006A5F7A"/>
    <w:rsid w:val="006A6C8F"/>
    <w:rsid w:val="006B1DF2"/>
    <w:rsid w:val="006B3380"/>
    <w:rsid w:val="006B4791"/>
    <w:rsid w:val="006B58A7"/>
    <w:rsid w:val="006B5EB5"/>
    <w:rsid w:val="006B6DEA"/>
    <w:rsid w:val="006C08D3"/>
    <w:rsid w:val="006C0E97"/>
    <w:rsid w:val="006C1739"/>
    <w:rsid w:val="006C22A5"/>
    <w:rsid w:val="006C55F8"/>
    <w:rsid w:val="006C5BA7"/>
    <w:rsid w:val="006C6B35"/>
    <w:rsid w:val="006C7875"/>
    <w:rsid w:val="006C7B4F"/>
    <w:rsid w:val="006D1B52"/>
    <w:rsid w:val="006D3022"/>
    <w:rsid w:val="006D3357"/>
    <w:rsid w:val="006D3887"/>
    <w:rsid w:val="006D45B8"/>
    <w:rsid w:val="006D46E3"/>
    <w:rsid w:val="006D502D"/>
    <w:rsid w:val="006D5E14"/>
    <w:rsid w:val="006D6DC4"/>
    <w:rsid w:val="006D77FB"/>
    <w:rsid w:val="006D791C"/>
    <w:rsid w:val="006E3507"/>
    <w:rsid w:val="006F0BF1"/>
    <w:rsid w:val="006F11DC"/>
    <w:rsid w:val="006F2CEF"/>
    <w:rsid w:val="006F6432"/>
    <w:rsid w:val="006F6884"/>
    <w:rsid w:val="006F72A7"/>
    <w:rsid w:val="006F7735"/>
    <w:rsid w:val="0070045F"/>
    <w:rsid w:val="00701115"/>
    <w:rsid w:val="0070333F"/>
    <w:rsid w:val="00703563"/>
    <w:rsid w:val="00704A51"/>
    <w:rsid w:val="00705AD6"/>
    <w:rsid w:val="00705C95"/>
    <w:rsid w:val="00706191"/>
    <w:rsid w:val="007068F8"/>
    <w:rsid w:val="00706A67"/>
    <w:rsid w:val="00706D4A"/>
    <w:rsid w:val="00707936"/>
    <w:rsid w:val="00707EAE"/>
    <w:rsid w:val="00710C53"/>
    <w:rsid w:val="007115A3"/>
    <w:rsid w:val="007115AB"/>
    <w:rsid w:val="007118A3"/>
    <w:rsid w:val="00713BCA"/>
    <w:rsid w:val="007155B5"/>
    <w:rsid w:val="007178F4"/>
    <w:rsid w:val="00717B78"/>
    <w:rsid w:val="007227EA"/>
    <w:rsid w:val="00722BEF"/>
    <w:rsid w:val="00722FB5"/>
    <w:rsid w:val="0072509F"/>
    <w:rsid w:val="007253C2"/>
    <w:rsid w:val="007263A9"/>
    <w:rsid w:val="00726560"/>
    <w:rsid w:val="00733AB9"/>
    <w:rsid w:val="00733F8D"/>
    <w:rsid w:val="00734842"/>
    <w:rsid w:val="00734A39"/>
    <w:rsid w:val="007358A9"/>
    <w:rsid w:val="007378C1"/>
    <w:rsid w:val="00742404"/>
    <w:rsid w:val="0074372F"/>
    <w:rsid w:val="0074396F"/>
    <w:rsid w:val="00747896"/>
    <w:rsid w:val="00750ACB"/>
    <w:rsid w:val="0075174D"/>
    <w:rsid w:val="00751AA6"/>
    <w:rsid w:val="00752C41"/>
    <w:rsid w:val="00753FCB"/>
    <w:rsid w:val="00754CFA"/>
    <w:rsid w:val="00754DF1"/>
    <w:rsid w:val="00755FEF"/>
    <w:rsid w:val="007567D7"/>
    <w:rsid w:val="00760730"/>
    <w:rsid w:val="00761226"/>
    <w:rsid w:val="00761BAD"/>
    <w:rsid w:val="00761D5C"/>
    <w:rsid w:val="0076337E"/>
    <w:rsid w:val="00763FF6"/>
    <w:rsid w:val="00765635"/>
    <w:rsid w:val="00766399"/>
    <w:rsid w:val="00767E6F"/>
    <w:rsid w:val="007701CC"/>
    <w:rsid w:val="00770743"/>
    <w:rsid w:val="0077130E"/>
    <w:rsid w:val="00772BF1"/>
    <w:rsid w:val="007745F3"/>
    <w:rsid w:val="00774D42"/>
    <w:rsid w:val="00774DE0"/>
    <w:rsid w:val="00776AE3"/>
    <w:rsid w:val="00776D4B"/>
    <w:rsid w:val="00776F0E"/>
    <w:rsid w:val="0078040D"/>
    <w:rsid w:val="00780479"/>
    <w:rsid w:val="007807D6"/>
    <w:rsid w:val="00782AAD"/>
    <w:rsid w:val="00782CA8"/>
    <w:rsid w:val="00783417"/>
    <w:rsid w:val="00785421"/>
    <w:rsid w:val="00785E97"/>
    <w:rsid w:val="00787D4C"/>
    <w:rsid w:val="00791CC1"/>
    <w:rsid w:val="007922E2"/>
    <w:rsid w:val="00792A50"/>
    <w:rsid w:val="00794384"/>
    <w:rsid w:val="0079493E"/>
    <w:rsid w:val="00794A89"/>
    <w:rsid w:val="00794ACA"/>
    <w:rsid w:val="00795422"/>
    <w:rsid w:val="0079613E"/>
    <w:rsid w:val="00796441"/>
    <w:rsid w:val="0079680C"/>
    <w:rsid w:val="007969F4"/>
    <w:rsid w:val="007977FD"/>
    <w:rsid w:val="007A1A2A"/>
    <w:rsid w:val="007A1FA2"/>
    <w:rsid w:val="007A298D"/>
    <w:rsid w:val="007A30CE"/>
    <w:rsid w:val="007A39AC"/>
    <w:rsid w:val="007A443E"/>
    <w:rsid w:val="007A5308"/>
    <w:rsid w:val="007A6F86"/>
    <w:rsid w:val="007A7764"/>
    <w:rsid w:val="007B129F"/>
    <w:rsid w:val="007B330E"/>
    <w:rsid w:val="007B33E8"/>
    <w:rsid w:val="007B43F8"/>
    <w:rsid w:val="007B4E7D"/>
    <w:rsid w:val="007B5D26"/>
    <w:rsid w:val="007B5E13"/>
    <w:rsid w:val="007B7609"/>
    <w:rsid w:val="007C0144"/>
    <w:rsid w:val="007C0F77"/>
    <w:rsid w:val="007C1C42"/>
    <w:rsid w:val="007C31B7"/>
    <w:rsid w:val="007C4B7B"/>
    <w:rsid w:val="007C533D"/>
    <w:rsid w:val="007D0156"/>
    <w:rsid w:val="007D30B8"/>
    <w:rsid w:val="007D3B1A"/>
    <w:rsid w:val="007D651B"/>
    <w:rsid w:val="007D6D48"/>
    <w:rsid w:val="007D70C7"/>
    <w:rsid w:val="007D7B9E"/>
    <w:rsid w:val="007D7D51"/>
    <w:rsid w:val="007E1DB2"/>
    <w:rsid w:val="007E3027"/>
    <w:rsid w:val="007E32BA"/>
    <w:rsid w:val="007E567E"/>
    <w:rsid w:val="007E667B"/>
    <w:rsid w:val="007E6C83"/>
    <w:rsid w:val="007E7E3D"/>
    <w:rsid w:val="007F1145"/>
    <w:rsid w:val="007F165A"/>
    <w:rsid w:val="007F3BE2"/>
    <w:rsid w:val="007F3FC4"/>
    <w:rsid w:val="007F48CB"/>
    <w:rsid w:val="007F4C71"/>
    <w:rsid w:val="007F7284"/>
    <w:rsid w:val="00801CC0"/>
    <w:rsid w:val="0080325A"/>
    <w:rsid w:val="0080366D"/>
    <w:rsid w:val="0080453C"/>
    <w:rsid w:val="00804850"/>
    <w:rsid w:val="00812031"/>
    <w:rsid w:val="008144F4"/>
    <w:rsid w:val="008147F9"/>
    <w:rsid w:val="008169AA"/>
    <w:rsid w:val="00820B4E"/>
    <w:rsid w:val="00822D38"/>
    <w:rsid w:val="00825BF8"/>
    <w:rsid w:val="0082662B"/>
    <w:rsid w:val="008316BC"/>
    <w:rsid w:val="008319CF"/>
    <w:rsid w:val="008327D5"/>
    <w:rsid w:val="008329B8"/>
    <w:rsid w:val="00832FF8"/>
    <w:rsid w:val="00834F02"/>
    <w:rsid w:val="008351E4"/>
    <w:rsid w:val="00836F60"/>
    <w:rsid w:val="008375E8"/>
    <w:rsid w:val="00842C63"/>
    <w:rsid w:val="00844CB9"/>
    <w:rsid w:val="00844CD8"/>
    <w:rsid w:val="00845A2A"/>
    <w:rsid w:val="00846612"/>
    <w:rsid w:val="00851D29"/>
    <w:rsid w:val="00851F5F"/>
    <w:rsid w:val="00853E7A"/>
    <w:rsid w:val="00854433"/>
    <w:rsid w:val="008553BF"/>
    <w:rsid w:val="008561CF"/>
    <w:rsid w:val="00856375"/>
    <w:rsid w:val="008640D6"/>
    <w:rsid w:val="0086414A"/>
    <w:rsid w:val="00864807"/>
    <w:rsid w:val="00864F70"/>
    <w:rsid w:val="00865DD8"/>
    <w:rsid w:val="00866C2A"/>
    <w:rsid w:val="00867861"/>
    <w:rsid w:val="00870761"/>
    <w:rsid w:val="008708AA"/>
    <w:rsid w:val="0087197F"/>
    <w:rsid w:val="008737FA"/>
    <w:rsid w:val="008747AC"/>
    <w:rsid w:val="0087484D"/>
    <w:rsid w:val="008755A0"/>
    <w:rsid w:val="0088204B"/>
    <w:rsid w:val="008833C2"/>
    <w:rsid w:val="00883577"/>
    <w:rsid w:val="0088423A"/>
    <w:rsid w:val="0088441A"/>
    <w:rsid w:val="00884897"/>
    <w:rsid w:val="00886245"/>
    <w:rsid w:val="008878A5"/>
    <w:rsid w:val="008878BE"/>
    <w:rsid w:val="00891656"/>
    <w:rsid w:val="0089198A"/>
    <w:rsid w:val="00891AC8"/>
    <w:rsid w:val="00892322"/>
    <w:rsid w:val="0089361C"/>
    <w:rsid w:val="0089373E"/>
    <w:rsid w:val="0089398B"/>
    <w:rsid w:val="00894215"/>
    <w:rsid w:val="00895AE4"/>
    <w:rsid w:val="00895E0D"/>
    <w:rsid w:val="00897F27"/>
    <w:rsid w:val="008A1347"/>
    <w:rsid w:val="008A1388"/>
    <w:rsid w:val="008A3D06"/>
    <w:rsid w:val="008A3D4D"/>
    <w:rsid w:val="008A45F8"/>
    <w:rsid w:val="008A6638"/>
    <w:rsid w:val="008A69DE"/>
    <w:rsid w:val="008A6AEB"/>
    <w:rsid w:val="008A7D7D"/>
    <w:rsid w:val="008B20F3"/>
    <w:rsid w:val="008B299C"/>
    <w:rsid w:val="008B42F7"/>
    <w:rsid w:val="008B4575"/>
    <w:rsid w:val="008B53F4"/>
    <w:rsid w:val="008B5B5E"/>
    <w:rsid w:val="008B5EE5"/>
    <w:rsid w:val="008B6794"/>
    <w:rsid w:val="008B694B"/>
    <w:rsid w:val="008B6F6E"/>
    <w:rsid w:val="008C1628"/>
    <w:rsid w:val="008C21EF"/>
    <w:rsid w:val="008C2511"/>
    <w:rsid w:val="008C3072"/>
    <w:rsid w:val="008C3F03"/>
    <w:rsid w:val="008C40F6"/>
    <w:rsid w:val="008C4DFD"/>
    <w:rsid w:val="008C6DCD"/>
    <w:rsid w:val="008C7B2A"/>
    <w:rsid w:val="008D00C3"/>
    <w:rsid w:val="008D0652"/>
    <w:rsid w:val="008D0741"/>
    <w:rsid w:val="008D0AAC"/>
    <w:rsid w:val="008D0C1F"/>
    <w:rsid w:val="008D0CCD"/>
    <w:rsid w:val="008D3270"/>
    <w:rsid w:val="008D4CF4"/>
    <w:rsid w:val="008D6CD4"/>
    <w:rsid w:val="008E0978"/>
    <w:rsid w:val="008E27D8"/>
    <w:rsid w:val="008E3DDD"/>
    <w:rsid w:val="008E7080"/>
    <w:rsid w:val="008E780B"/>
    <w:rsid w:val="008E78CE"/>
    <w:rsid w:val="008E7FA5"/>
    <w:rsid w:val="008F267A"/>
    <w:rsid w:val="008F35A6"/>
    <w:rsid w:val="008F36E3"/>
    <w:rsid w:val="008F6F78"/>
    <w:rsid w:val="00900001"/>
    <w:rsid w:val="00901970"/>
    <w:rsid w:val="00903166"/>
    <w:rsid w:val="00907699"/>
    <w:rsid w:val="009104B8"/>
    <w:rsid w:val="009106FF"/>
    <w:rsid w:val="00911800"/>
    <w:rsid w:val="00912ECC"/>
    <w:rsid w:val="00915BC6"/>
    <w:rsid w:val="00915DB5"/>
    <w:rsid w:val="0091613C"/>
    <w:rsid w:val="009176E8"/>
    <w:rsid w:val="0092001D"/>
    <w:rsid w:val="00920903"/>
    <w:rsid w:val="00922C47"/>
    <w:rsid w:val="00923BD7"/>
    <w:rsid w:val="00925212"/>
    <w:rsid w:val="00925309"/>
    <w:rsid w:val="00930203"/>
    <w:rsid w:val="0093089E"/>
    <w:rsid w:val="009308E5"/>
    <w:rsid w:val="00932D8F"/>
    <w:rsid w:val="00934453"/>
    <w:rsid w:val="0093738A"/>
    <w:rsid w:val="00937713"/>
    <w:rsid w:val="00937A07"/>
    <w:rsid w:val="00940567"/>
    <w:rsid w:val="009409E9"/>
    <w:rsid w:val="00941989"/>
    <w:rsid w:val="009443AB"/>
    <w:rsid w:val="00944539"/>
    <w:rsid w:val="00944FB3"/>
    <w:rsid w:val="009451B1"/>
    <w:rsid w:val="009465D3"/>
    <w:rsid w:val="00946BFE"/>
    <w:rsid w:val="00950C4A"/>
    <w:rsid w:val="0095145D"/>
    <w:rsid w:val="0095339D"/>
    <w:rsid w:val="009539A2"/>
    <w:rsid w:val="00957B0A"/>
    <w:rsid w:val="00957DC4"/>
    <w:rsid w:val="00961FB4"/>
    <w:rsid w:val="009635B1"/>
    <w:rsid w:val="00964520"/>
    <w:rsid w:val="0096495B"/>
    <w:rsid w:val="00965D23"/>
    <w:rsid w:val="009678D1"/>
    <w:rsid w:val="009714B1"/>
    <w:rsid w:val="00972067"/>
    <w:rsid w:val="0097490F"/>
    <w:rsid w:val="00974E39"/>
    <w:rsid w:val="009763E1"/>
    <w:rsid w:val="00980D6E"/>
    <w:rsid w:val="0098120D"/>
    <w:rsid w:val="0098182C"/>
    <w:rsid w:val="00982FD9"/>
    <w:rsid w:val="009843FA"/>
    <w:rsid w:val="00984AAC"/>
    <w:rsid w:val="009851A7"/>
    <w:rsid w:val="00987469"/>
    <w:rsid w:val="0098790F"/>
    <w:rsid w:val="00990299"/>
    <w:rsid w:val="0099149F"/>
    <w:rsid w:val="00995C22"/>
    <w:rsid w:val="00997D91"/>
    <w:rsid w:val="009A070B"/>
    <w:rsid w:val="009A1FE5"/>
    <w:rsid w:val="009A22BE"/>
    <w:rsid w:val="009A4169"/>
    <w:rsid w:val="009A52B9"/>
    <w:rsid w:val="009A610E"/>
    <w:rsid w:val="009A7182"/>
    <w:rsid w:val="009A7EC9"/>
    <w:rsid w:val="009B0B2F"/>
    <w:rsid w:val="009B4702"/>
    <w:rsid w:val="009B4B57"/>
    <w:rsid w:val="009B5041"/>
    <w:rsid w:val="009C1BF2"/>
    <w:rsid w:val="009C28C1"/>
    <w:rsid w:val="009C35F5"/>
    <w:rsid w:val="009C4B1E"/>
    <w:rsid w:val="009D0EBD"/>
    <w:rsid w:val="009D2524"/>
    <w:rsid w:val="009D31D1"/>
    <w:rsid w:val="009D50AC"/>
    <w:rsid w:val="009D6762"/>
    <w:rsid w:val="009E3B83"/>
    <w:rsid w:val="009E47B4"/>
    <w:rsid w:val="009F0D73"/>
    <w:rsid w:val="009F616A"/>
    <w:rsid w:val="009F7213"/>
    <w:rsid w:val="00A01252"/>
    <w:rsid w:val="00A01B4F"/>
    <w:rsid w:val="00A01FD5"/>
    <w:rsid w:val="00A020C4"/>
    <w:rsid w:val="00A02883"/>
    <w:rsid w:val="00A05143"/>
    <w:rsid w:val="00A06645"/>
    <w:rsid w:val="00A06ACC"/>
    <w:rsid w:val="00A10B34"/>
    <w:rsid w:val="00A10DEA"/>
    <w:rsid w:val="00A11B58"/>
    <w:rsid w:val="00A12618"/>
    <w:rsid w:val="00A14F75"/>
    <w:rsid w:val="00A163A2"/>
    <w:rsid w:val="00A1785A"/>
    <w:rsid w:val="00A17D59"/>
    <w:rsid w:val="00A20D23"/>
    <w:rsid w:val="00A20F9C"/>
    <w:rsid w:val="00A21F47"/>
    <w:rsid w:val="00A2251C"/>
    <w:rsid w:val="00A227E0"/>
    <w:rsid w:val="00A24FBC"/>
    <w:rsid w:val="00A26781"/>
    <w:rsid w:val="00A3552E"/>
    <w:rsid w:val="00A3577F"/>
    <w:rsid w:val="00A36FEF"/>
    <w:rsid w:val="00A41B25"/>
    <w:rsid w:val="00A42231"/>
    <w:rsid w:val="00A4291E"/>
    <w:rsid w:val="00A43EAF"/>
    <w:rsid w:val="00A4460C"/>
    <w:rsid w:val="00A45CB5"/>
    <w:rsid w:val="00A4673D"/>
    <w:rsid w:val="00A46950"/>
    <w:rsid w:val="00A4777E"/>
    <w:rsid w:val="00A47927"/>
    <w:rsid w:val="00A47AA4"/>
    <w:rsid w:val="00A47B2D"/>
    <w:rsid w:val="00A509F5"/>
    <w:rsid w:val="00A50D82"/>
    <w:rsid w:val="00A53ACF"/>
    <w:rsid w:val="00A5457D"/>
    <w:rsid w:val="00A55E57"/>
    <w:rsid w:val="00A55F93"/>
    <w:rsid w:val="00A57CF3"/>
    <w:rsid w:val="00A603BF"/>
    <w:rsid w:val="00A60758"/>
    <w:rsid w:val="00A616E7"/>
    <w:rsid w:val="00A641C1"/>
    <w:rsid w:val="00A66398"/>
    <w:rsid w:val="00A6685D"/>
    <w:rsid w:val="00A70B8E"/>
    <w:rsid w:val="00A7465B"/>
    <w:rsid w:val="00A74C22"/>
    <w:rsid w:val="00A818F9"/>
    <w:rsid w:val="00A83A1B"/>
    <w:rsid w:val="00A83ABE"/>
    <w:rsid w:val="00A840A1"/>
    <w:rsid w:val="00A85369"/>
    <w:rsid w:val="00A8689B"/>
    <w:rsid w:val="00A873FF"/>
    <w:rsid w:val="00A87F6C"/>
    <w:rsid w:val="00A90428"/>
    <w:rsid w:val="00A91335"/>
    <w:rsid w:val="00A9217E"/>
    <w:rsid w:val="00A927DB"/>
    <w:rsid w:val="00A936C2"/>
    <w:rsid w:val="00A94DAC"/>
    <w:rsid w:val="00A96FD5"/>
    <w:rsid w:val="00AA1060"/>
    <w:rsid w:val="00AA1065"/>
    <w:rsid w:val="00AA5B5B"/>
    <w:rsid w:val="00AA5C24"/>
    <w:rsid w:val="00AA5CB1"/>
    <w:rsid w:val="00AA5E28"/>
    <w:rsid w:val="00AA6532"/>
    <w:rsid w:val="00AA79A4"/>
    <w:rsid w:val="00AB313E"/>
    <w:rsid w:val="00AB3205"/>
    <w:rsid w:val="00AB7E24"/>
    <w:rsid w:val="00AC02A7"/>
    <w:rsid w:val="00AC0F97"/>
    <w:rsid w:val="00AC2A46"/>
    <w:rsid w:val="00AC2D3C"/>
    <w:rsid w:val="00AC4A1C"/>
    <w:rsid w:val="00AC4A24"/>
    <w:rsid w:val="00AC4CAE"/>
    <w:rsid w:val="00AC5DA2"/>
    <w:rsid w:val="00AD0255"/>
    <w:rsid w:val="00AD084A"/>
    <w:rsid w:val="00AD1F34"/>
    <w:rsid w:val="00AD2BC4"/>
    <w:rsid w:val="00AD56DD"/>
    <w:rsid w:val="00AD7FF1"/>
    <w:rsid w:val="00AE1459"/>
    <w:rsid w:val="00AE2295"/>
    <w:rsid w:val="00AE24B0"/>
    <w:rsid w:val="00AE2E7B"/>
    <w:rsid w:val="00AE47F2"/>
    <w:rsid w:val="00AE4B0E"/>
    <w:rsid w:val="00AE57A5"/>
    <w:rsid w:val="00AE66C9"/>
    <w:rsid w:val="00AE6F45"/>
    <w:rsid w:val="00AE7FE8"/>
    <w:rsid w:val="00AF02E1"/>
    <w:rsid w:val="00AF0521"/>
    <w:rsid w:val="00AF1B6E"/>
    <w:rsid w:val="00AF24E3"/>
    <w:rsid w:val="00AF3074"/>
    <w:rsid w:val="00AF382E"/>
    <w:rsid w:val="00AF39FE"/>
    <w:rsid w:val="00AF48F2"/>
    <w:rsid w:val="00AF5787"/>
    <w:rsid w:val="00AF6C9F"/>
    <w:rsid w:val="00AF6D40"/>
    <w:rsid w:val="00AF7B27"/>
    <w:rsid w:val="00AF7DE5"/>
    <w:rsid w:val="00B00062"/>
    <w:rsid w:val="00B000CC"/>
    <w:rsid w:val="00B02BEF"/>
    <w:rsid w:val="00B048AB"/>
    <w:rsid w:val="00B06E28"/>
    <w:rsid w:val="00B07E82"/>
    <w:rsid w:val="00B12A06"/>
    <w:rsid w:val="00B12E5A"/>
    <w:rsid w:val="00B13E18"/>
    <w:rsid w:val="00B14A5D"/>
    <w:rsid w:val="00B15325"/>
    <w:rsid w:val="00B15F52"/>
    <w:rsid w:val="00B16BE9"/>
    <w:rsid w:val="00B17477"/>
    <w:rsid w:val="00B17603"/>
    <w:rsid w:val="00B248A5"/>
    <w:rsid w:val="00B2492D"/>
    <w:rsid w:val="00B25E5C"/>
    <w:rsid w:val="00B26133"/>
    <w:rsid w:val="00B26333"/>
    <w:rsid w:val="00B26DBD"/>
    <w:rsid w:val="00B272CF"/>
    <w:rsid w:val="00B27F0E"/>
    <w:rsid w:val="00B31634"/>
    <w:rsid w:val="00B31D09"/>
    <w:rsid w:val="00B33C96"/>
    <w:rsid w:val="00B367A7"/>
    <w:rsid w:val="00B37853"/>
    <w:rsid w:val="00B41CD5"/>
    <w:rsid w:val="00B420FB"/>
    <w:rsid w:val="00B42469"/>
    <w:rsid w:val="00B4262E"/>
    <w:rsid w:val="00B436D4"/>
    <w:rsid w:val="00B43F8D"/>
    <w:rsid w:val="00B4525F"/>
    <w:rsid w:val="00B45C89"/>
    <w:rsid w:val="00B46032"/>
    <w:rsid w:val="00B50943"/>
    <w:rsid w:val="00B522E2"/>
    <w:rsid w:val="00B52E19"/>
    <w:rsid w:val="00B55FD0"/>
    <w:rsid w:val="00B5754E"/>
    <w:rsid w:val="00B605A3"/>
    <w:rsid w:val="00B61FA2"/>
    <w:rsid w:val="00B64995"/>
    <w:rsid w:val="00B66016"/>
    <w:rsid w:val="00B706C7"/>
    <w:rsid w:val="00B75D27"/>
    <w:rsid w:val="00B7665E"/>
    <w:rsid w:val="00B77AF6"/>
    <w:rsid w:val="00B77C46"/>
    <w:rsid w:val="00B82459"/>
    <w:rsid w:val="00B83A95"/>
    <w:rsid w:val="00B83AD6"/>
    <w:rsid w:val="00B841FC"/>
    <w:rsid w:val="00B84691"/>
    <w:rsid w:val="00B84ACA"/>
    <w:rsid w:val="00B85DB6"/>
    <w:rsid w:val="00B86AA7"/>
    <w:rsid w:val="00B87624"/>
    <w:rsid w:val="00B909CD"/>
    <w:rsid w:val="00B9132B"/>
    <w:rsid w:val="00B925FA"/>
    <w:rsid w:val="00B928DA"/>
    <w:rsid w:val="00B92E87"/>
    <w:rsid w:val="00B93745"/>
    <w:rsid w:val="00B942AE"/>
    <w:rsid w:val="00B952D5"/>
    <w:rsid w:val="00B95911"/>
    <w:rsid w:val="00B95B5B"/>
    <w:rsid w:val="00B96857"/>
    <w:rsid w:val="00B978DC"/>
    <w:rsid w:val="00BA1423"/>
    <w:rsid w:val="00BA4BEA"/>
    <w:rsid w:val="00BA5C5C"/>
    <w:rsid w:val="00BA5F09"/>
    <w:rsid w:val="00BA6974"/>
    <w:rsid w:val="00BB1042"/>
    <w:rsid w:val="00BB1111"/>
    <w:rsid w:val="00BB34FD"/>
    <w:rsid w:val="00BB4247"/>
    <w:rsid w:val="00BB6E2A"/>
    <w:rsid w:val="00BC27E8"/>
    <w:rsid w:val="00BC2AD4"/>
    <w:rsid w:val="00BC3EBD"/>
    <w:rsid w:val="00BC42F2"/>
    <w:rsid w:val="00BC57F5"/>
    <w:rsid w:val="00BC5D14"/>
    <w:rsid w:val="00BC7F54"/>
    <w:rsid w:val="00BD157A"/>
    <w:rsid w:val="00BD1AB9"/>
    <w:rsid w:val="00BD5C3E"/>
    <w:rsid w:val="00BD602F"/>
    <w:rsid w:val="00BD7203"/>
    <w:rsid w:val="00BE01BA"/>
    <w:rsid w:val="00BE4B1B"/>
    <w:rsid w:val="00BE55F1"/>
    <w:rsid w:val="00BE64C7"/>
    <w:rsid w:val="00BE6B82"/>
    <w:rsid w:val="00BE6FC9"/>
    <w:rsid w:val="00BE706F"/>
    <w:rsid w:val="00BE7446"/>
    <w:rsid w:val="00BF2BD8"/>
    <w:rsid w:val="00BF2CC9"/>
    <w:rsid w:val="00BF46A1"/>
    <w:rsid w:val="00BF4B8F"/>
    <w:rsid w:val="00BF786A"/>
    <w:rsid w:val="00BF78C5"/>
    <w:rsid w:val="00BF7A7D"/>
    <w:rsid w:val="00C008A1"/>
    <w:rsid w:val="00C014BC"/>
    <w:rsid w:val="00C01932"/>
    <w:rsid w:val="00C01B14"/>
    <w:rsid w:val="00C04C9C"/>
    <w:rsid w:val="00C05363"/>
    <w:rsid w:val="00C05C2A"/>
    <w:rsid w:val="00C062E6"/>
    <w:rsid w:val="00C071A4"/>
    <w:rsid w:val="00C0754B"/>
    <w:rsid w:val="00C1030C"/>
    <w:rsid w:val="00C1096B"/>
    <w:rsid w:val="00C11002"/>
    <w:rsid w:val="00C1212A"/>
    <w:rsid w:val="00C13EED"/>
    <w:rsid w:val="00C21F2B"/>
    <w:rsid w:val="00C246B0"/>
    <w:rsid w:val="00C249CD"/>
    <w:rsid w:val="00C2651A"/>
    <w:rsid w:val="00C27006"/>
    <w:rsid w:val="00C27CB0"/>
    <w:rsid w:val="00C27EA5"/>
    <w:rsid w:val="00C31C9D"/>
    <w:rsid w:val="00C35E7E"/>
    <w:rsid w:val="00C3600F"/>
    <w:rsid w:val="00C37399"/>
    <w:rsid w:val="00C37FC4"/>
    <w:rsid w:val="00C41E2C"/>
    <w:rsid w:val="00C4453D"/>
    <w:rsid w:val="00C4527B"/>
    <w:rsid w:val="00C479AA"/>
    <w:rsid w:val="00C5204C"/>
    <w:rsid w:val="00C53013"/>
    <w:rsid w:val="00C542B5"/>
    <w:rsid w:val="00C615A2"/>
    <w:rsid w:val="00C621A8"/>
    <w:rsid w:val="00C628E7"/>
    <w:rsid w:val="00C62E4C"/>
    <w:rsid w:val="00C63AEE"/>
    <w:rsid w:val="00C63F6C"/>
    <w:rsid w:val="00C64C11"/>
    <w:rsid w:val="00C658A4"/>
    <w:rsid w:val="00C66722"/>
    <w:rsid w:val="00C66808"/>
    <w:rsid w:val="00C70630"/>
    <w:rsid w:val="00C720B9"/>
    <w:rsid w:val="00C73C8B"/>
    <w:rsid w:val="00C73CAE"/>
    <w:rsid w:val="00C769E0"/>
    <w:rsid w:val="00C76AA4"/>
    <w:rsid w:val="00C76E9E"/>
    <w:rsid w:val="00C80315"/>
    <w:rsid w:val="00C80CC8"/>
    <w:rsid w:val="00C81D8B"/>
    <w:rsid w:val="00C8434A"/>
    <w:rsid w:val="00C84861"/>
    <w:rsid w:val="00C858C5"/>
    <w:rsid w:val="00C8590A"/>
    <w:rsid w:val="00C86E6D"/>
    <w:rsid w:val="00C870ED"/>
    <w:rsid w:val="00C874B9"/>
    <w:rsid w:val="00C87EDE"/>
    <w:rsid w:val="00C90705"/>
    <w:rsid w:val="00C91A79"/>
    <w:rsid w:val="00C92506"/>
    <w:rsid w:val="00C934AB"/>
    <w:rsid w:val="00C95405"/>
    <w:rsid w:val="00C95467"/>
    <w:rsid w:val="00C95CA8"/>
    <w:rsid w:val="00CA3409"/>
    <w:rsid w:val="00CA37BD"/>
    <w:rsid w:val="00CA4953"/>
    <w:rsid w:val="00CB00CF"/>
    <w:rsid w:val="00CB0C1A"/>
    <w:rsid w:val="00CB0CA8"/>
    <w:rsid w:val="00CB1AE9"/>
    <w:rsid w:val="00CB1C37"/>
    <w:rsid w:val="00CB6094"/>
    <w:rsid w:val="00CB7BC7"/>
    <w:rsid w:val="00CC0223"/>
    <w:rsid w:val="00CC0E8C"/>
    <w:rsid w:val="00CC236A"/>
    <w:rsid w:val="00CC357A"/>
    <w:rsid w:val="00CC44BA"/>
    <w:rsid w:val="00CC4D3C"/>
    <w:rsid w:val="00CC5FE8"/>
    <w:rsid w:val="00CC6AEF"/>
    <w:rsid w:val="00CC7093"/>
    <w:rsid w:val="00CC75F4"/>
    <w:rsid w:val="00CD0533"/>
    <w:rsid w:val="00CD4872"/>
    <w:rsid w:val="00CD5138"/>
    <w:rsid w:val="00CD7D11"/>
    <w:rsid w:val="00CE04A5"/>
    <w:rsid w:val="00CE113B"/>
    <w:rsid w:val="00CE2D8D"/>
    <w:rsid w:val="00CE3670"/>
    <w:rsid w:val="00CE453B"/>
    <w:rsid w:val="00CE4D89"/>
    <w:rsid w:val="00CE67C5"/>
    <w:rsid w:val="00CE703F"/>
    <w:rsid w:val="00CE7B6F"/>
    <w:rsid w:val="00CE7C5B"/>
    <w:rsid w:val="00CE7F10"/>
    <w:rsid w:val="00CF1A0E"/>
    <w:rsid w:val="00CF292B"/>
    <w:rsid w:val="00CF5650"/>
    <w:rsid w:val="00CF5BBF"/>
    <w:rsid w:val="00CF701E"/>
    <w:rsid w:val="00D018C9"/>
    <w:rsid w:val="00D02451"/>
    <w:rsid w:val="00D02C52"/>
    <w:rsid w:val="00D03736"/>
    <w:rsid w:val="00D03DFF"/>
    <w:rsid w:val="00D0463E"/>
    <w:rsid w:val="00D06950"/>
    <w:rsid w:val="00D07989"/>
    <w:rsid w:val="00D13737"/>
    <w:rsid w:val="00D14224"/>
    <w:rsid w:val="00D14DF9"/>
    <w:rsid w:val="00D15AEC"/>
    <w:rsid w:val="00D2034B"/>
    <w:rsid w:val="00D21756"/>
    <w:rsid w:val="00D22639"/>
    <w:rsid w:val="00D22BFC"/>
    <w:rsid w:val="00D23107"/>
    <w:rsid w:val="00D25716"/>
    <w:rsid w:val="00D27F10"/>
    <w:rsid w:val="00D318CC"/>
    <w:rsid w:val="00D31E9E"/>
    <w:rsid w:val="00D326EE"/>
    <w:rsid w:val="00D33E1E"/>
    <w:rsid w:val="00D33E2D"/>
    <w:rsid w:val="00D35040"/>
    <w:rsid w:val="00D3602D"/>
    <w:rsid w:val="00D409DD"/>
    <w:rsid w:val="00D40F80"/>
    <w:rsid w:val="00D4319C"/>
    <w:rsid w:val="00D43B60"/>
    <w:rsid w:val="00D43F89"/>
    <w:rsid w:val="00D469E4"/>
    <w:rsid w:val="00D478E1"/>
    <w:rsid w:val="00D52947"/>
    <w:rsid w:val="00D5721A"/>
    <w:rsid w:val="00D57F46"/>
    <w:rsid w:val="00D6025F"/>
    <w:rsid w:val="00D60657"/>
    <w:rsid w:val="00D663BA"/>
    <w:rsid w:val="00D66A91"/>
    <w:rsid w:val="00D717B6"/>
    <w:rsid w:val="00D727B8"/>
    <w:rsid w:val="00D7380C"/>
    <w:rsid w:val="00D73AC5"/>
    <w:rsid w:val="00D74E4B"/>
    <w:rsid w:val="00D75941"/>
    <w:rsid w:val="00D75FEE"/>
    <w:rsid w:val="00D762DF"/>
    <w:rsid w:val="00D766CF"/>
    <w:rsid w:val="00D77A2A"/>
    <w:rsid w:val="00D77C9C"/>
    <w:rsid w:val="00D80E6D"/>
    <w:rsid w:val="00D822E3"/>
    <w:rsid w:val="00D8425D"/>
    <w:rsid w:val="00D843D5"/>
    <w:rsid w:val="00D8493D"/>
    <w:rsid w:val="00D878A8"/>
    <w:rsid w:val="00D92BD4"/>
    <w:rsid w:val="00D930FC"/>
    <w:rsid w:val="00D934B5"/>
    <w:rsid w:val="00D94591"/>
    <w:rsid w:val="00D94997"/>
    <w:rsid w:val="00D94DCA"/>
    <w:rsid w:val="00D9652C"/>
    <w:rsid w:val="00D97618"/>
    <w:rsid w:val="00D97F8A"/>
    <w:rsid w:val="00DA0A4A"/>
    <w:rsid w:val="00DA1B93"/>
    <w:rsid w:val="00DA4B07"/>
    <w:rsid w:val="00DA5A6A"/>
    <w:rsid w:val="00DA5E03"/>
    <w:rsid w:val="00DA5F44"/>
    <w:rsid w:val="00DA6BC0"/>
    <w:rsid w:val="00DA79E0"/>
    <w:rsid w:val="00DB0251"/>
    <w:rsid w:val="00DB11E7"/>
    <w:rsid w:val="00DB1A1A"/>
    <w:rsid w:val="00DB3229"/>
    <w:rsid w:val="00DB4B6B"/>
    <w:rsid w:val="00DB4EE4"/>
    <w:rsid w:val="00DB504E"/>
    <w:rsid w:val="00DB532C"/>
    <w:rsid w:val="00DB5D5F"/>
    <w:rsid w:val="00DB69B5"/>
    <w:rsid w:val="00DB6A42"/>
    <w:rsid w:val="00DB77BB"/>
    <w:rsid w:val="00DC12B9"/>
    <w:rsid w:val="00DC12DF"/>
    <w:rsid w:val="00DC1468"/>
    <w:rsid w:val="00DC2C67"/>
    <w:rsid w:val="00DC3B21"/>
    <w:rsid w:val="00DC69DF"/>
    <w:rsid w:val="00DC70FE"/>
    <w:rsid w:val="00DC7522"/>
    <w:rsid w:val="00DC7807"/>
    <w:rsid w:val="00DC7C1D"/>
    <w:rsid w:val="00DD20C3"/>
    <w:rsid w:val="00DD31C1"/>
    <w:rsid w:val="00DD35D2"/>
    <w:rsid w:val="00DD7229"/>
    <w:rsid w:val="00DD72D5"/>
    <w:rsid w:val="00DD7365"/>
    <w:rsid w:val="00DE20DA"/>
    <w:rsid w:val="00DE2F0C"/>
    <w:rsid w:val="00DE30D8"/>
    <w:rsid w:val="00DE3DCF"/>
    <w:rsid w:val="00DE6382"/>
    <w:rsid w:val="00DE7BAB"/>
    <w:rsid w:val="00DF2A37"/>
    <w:rsid w:val="00DF3575"/>
    <w:rsid w:val="00DF473F"/>
    <w:rsid w:val="00DF4848"/>
    <w:rsid w:val="00DF5E2A"/>
    <w:rsid w:val="00E004E1"/>
    <w:rsid w:val="00E009BC"/>
    <w:rsid w:val="00E01660"/>
    <w:rsid w:val="00E0247A"/>
    <w:rsid w:val="00E06C98"/>
    <w:rsid w:val="00E11948"/>
    <w:rsid w:val="00E11ACA"/>
    <w:rsid w:val="00E13229"/>
    <w:rsid w:val="00E14EA6"/>
    <w:rsid w:val="00E14EE5"/>
    <w:rsid w:val="00E151A7"/>
    <w:rsid w:val="00E1597C"/>
    <w:rsid w:val="00E17682"/>
    <w:rsid w:val="00E22CBA"/>
    <w:rsid w:val="00E23B0C"/>
    <w:rsid w:val="00E23CDC"/>
    <w:rsid w:val="00E26B83"/>
    <w:rsid w:val="00E30F27"/>
    <w:rsid w:val="00E31C2C"/>
    <w:rsid w:val="00E32A39"/>
    <w:rsid w:val="00E34227"/>
    <w:rsid w:val="00E3476F"/>
    <w:rsid w:val="00E35691"/>
    <w:rsid w:val="00E36506"/>
    <w:rsid w:val="00E416AC"/>
    <w:rsid w:val="00E4305E"/>
    <w:rsid w:val="00E45275"/>
    <w:rsid w:val="00E45A16"/>
    <w:rsid w:val="00E464E5"/>
    <w:rsid w:val="00E4659F"/>
    <w:rsid w:val="00E502E4"/>
    <w:rsid w:val="00E5454C"/>
    <w:rsid w:val="00E54A73"/>
    <w:rsid w:val="00E5543C"/>
    <w:rsid w:val="00E55CF9"/>
    <w:rsid w:val="00E56A88"/>
    <w:rsid w:val="00E60A75"/>
    <w:rsid w:val="00E61AFD"/>
    <w:rsid w:val="00E633A3"/>
    <w:rsid w:val="00E64609"/>
    <w:rsid w:val="00E65FD3"/>
    <w:rsid w:val="00E707E2"/>
    <w:rsid w:val="00E70A01"/>
    <w:rsid w:val="00E71F63"/>
    <w:rsid w:val="00E73371"/>
    <w:rsid w:val="00E77634"/>
    <w:rsid w:val="00E77D4B"/>
    <w:rsid w:val="00E77EB5"/>
    <w:rsid w:val="00E80959"/>
    <w:rsid w:val="00E8118C"/>
    <w:rsid w:val="00E811CE"/>
    <w:rsid w:val="00E81755"/>
    <w:rsid w:val="00E81851"/>
    <w:rsid w:val="00E820A9"/>
    <w:rsid w:val="00E82DB3"/>
    <w:rsid w:val="00E83172"/>
    <w:rsid w:val="00E8391D"/>
    <w:rsid w:val="00E84915"/>
    <w:rsid w:val="00E8507A"/>
    <w:rsid w:val="00E85428"/>
    <w:rsid w:val="00E8571F"/>
    <w:rsid w:val="00E86116"/>
    <w:rsid w:val="00E903D4"/>
    <w:rsid w:val="00E909D3"/>
    <w:rsid w:val="00E918FB"/>
    <w:rsid w:val="00E92511"/>
    <w:rsid w:val="00E925A4"/>
    <w:rsid w:val="00E92EE5"/>
    <w:rsid w:val="00E92F29"/>
    <w:rsid w:val="00E9366D"/>
    <w:rsid w:val="00E936FF"/>
    <w:rsid w:val="00E944F0"/>
    <w:rsid w:val="00E95721"/>
    <w:rsid w:val="00E95D30"/>
    <w:rsid w:val="00E96A51"/>
    <w:rsid w:val="00E96EBD"/>
    <w:rsid w:val="00EA0526"/>
    <w:rsid w:val="00EA0D4E"/>
    <w:rsid w:val="00EA10C8"/>
    <w:rsid w:val="00EA42B8"/>
    <w:rsid w:val="00EA4F50"/>
    <w:rsid w:val="00EA5CFA"/>
    <w:rsid w:val="00EA66A1"/>
    <w:rsid w:val="00EA69EE"/>
    <w:rsid w:val="00EB1BAE"/>
    <w:rsid w:val="00EB285F"/>
    <w:rsid w:val="00EB44FD"/>
    <w:rsid w:val="00EB626B"/>
    <w:rsid w:val="00EB724F"/>
    <w:rsid w:val="00EC006C"/>
    <w:rsid w:val="00EC0B31"/>
    <w:rsid w:val="00EC1893"/>
    <w:rsid w:val="00EC32B5"/>
    <w:rsid w:val="00EC5D29"/>
    <w:rsid w:val="00ED0153"/>
    <w:rsid w:val="00ED30D5"/>
    <w:rsid w:val="00ED3502"/>
    <w:rsid w:val="00ED5278"/>
    <w:rsid w:val="00ED5620"/>
    <w:rsid w:val="00ED658C"/>
    <w:rsid w:val="00ED6A7A"/>
    <w:rsid w:val="00ED7FAD"/>
    <w:rsid w:val="00EE19B3"/>
    <w:rsid w:val="00EE1B6C"/>
    <w:rsid w:val="00EE27CF"/>
    <w:rsid w:val="00EF2142"/>
    <w:rsid w:val="00EF236E"/>
    <w:rsid w:val="00EF30D0"/>
    <w:rsid w:val="00EF38D6"/>
    <w:rsid w:val="00EF3938"/>
    <w:rsid w:val="00EF470C"/>
    <w:rsid w:val="00EF56F0"/>
    <w:rsid w:val="00EF5FAB"/>
    <w:rsid w:val="00EF5FBF"/>
    <w:rsid w:val="00F01D51"/>
    <w:rsid w:val="00F01E6F"/>
    <w:rsid w:val="00F0207C"/>
    <w:rsid w:val="00F02A88"/>
    <w:rsid w:val="00F02EEB"/>
    <w:rsid w:val="00F04836"/>
    <w:rsid w:val="00F07D78"/>
    <w:rsid w:val="00F11BFF"/>
    <w:rsid w:val="00F11F34"/>
    <w:rsid w:val="00F12560"/>
    <w:rsid w:val="00F14584"/>
    <w:rsid w:val="00F14724"/>
    <w:rsid w:val="00F1527E"/>
    <w:rsid w:val="00F16D22"/>
    <w:rsid w:val="00F20635"/>
    <w:rsid w:val="00F207B8"/>
    <w:rsid w:val="00F20E33"/>
    <w:rsid w:val="00F20F9B"/>
    <w:rsid w:val="00F21536"/>
    <w:rsid w:val="00F21975"/>
    <w:rsid w:val="00F2271A"/>
    <w:rsid w:val="00F27B0C"/>
    <w:rsid w:val="00F27BCD"/>
    <w:rsid w:val="00F32AB5"/>
    <w:rsid w:val="00F33311"/>
    <w:rsid w:val="00F34B8C"/>
    <w:rsid w:val="00F35CFB"/>
    <w:rsid w:val="00F36754"/>
    <w:rsid w:val="00F377E6"/>
    <w:rsid w:val="00F40151"/>
    <w:rsid w:val="00F40FFA"/>
    <w:rsid w:val="00F44058"/>
    <w:rsid w:val="00F446A0"/>
    <w:rsid w:val="00F454F3"/>
    <w:rsid w:val="00F472F3"/>
    <w:rsid w:val="00F4785E"/>
    <w:rsid w:val="00F50A6E"/>
    <w:rsid w:val="00F52F41"/>
    <w:rsid w:val="00F5469B"/>
    <w:rsid w:val="00F54B66"/>
    <w:rsid w:val="00F5556B"/>
    <w:rsid w:val="00F57104"/>
    <w:rsid w:val="00F5775E"/>
    <w:rsid w:val="00F6113D"/>
    <w:rsid w:val="00F613D6"/>
    <w:rsid w:val="00F6141A"/>
    <w:rsid w:val="00F61724"/>
    <w:rsid w:val="00F61A41"/>
    <w:rsid w:val="00F62395"/>
    <w:rsid w:val="00F62C9F"/>
    <w:rsid w:val="00F63DF6"/>
    <w:rsid w:val="00F65B42"/>
    <w:rsid w:val="00F666B4"/>
    <w:rsid w:val="00F669E9"/>
    <w:rsid w:val="00F70DBA"/>
    <w:rsid w:val="00F71C44"/>
    <w:rsid w:val="00F733FE"/>
    <w:rsid w:val="00F73422"/>
    <w:rsid w:val="00F74B00"/>
    <w:rsid w:val="00F75B5A"/>
    <w:rsid w:val="00F77390"/>
    <w:rsid w:val="00F80A28"/>
    <w:rsid w:val="00F80C7E"/>
    <w:rsid w:val="00F81DD6"/>
    <w:rsid w:val="00F83319"/>
    <w:rsid w:val="00F8338B"/>
    <w:rsid w:val="00F8377F"/>
    <w:rsid w:val="00F846FE"/>
    <w:rsid w:val="00F850A3"/>
    <w:rsid w:val="00F85FDB"/>
    <w:rsid w:val="00F873C5"/>
    <w:rsid w:val="00F9040A"/>
    <w:rsid w:val="00F91CB9"/>
    <w:rsid w:val="00F92C72"/>
    <w:rsid w:val="00F94613"/>
    <w:rsid w:val="00F94770"/>
    <w:rsid w:val="00F94C2B"/>
    <w:rsid w:val="00F9788A"/>
    <w:rsid w:val="00F97A01"/>
    <w:rsid w:val="00F97EDA"/>
    <w:rsid w:val="00FA0E6E"/>
    <w:rsid w:val="00FA1D7F"/>
    <w:rsid w:val="00FA1E7A"/>
    <w:rsid w:val="00FA27A4"/>
    <w:rsid w:val="00FA44D6"/>
    <w:rsid w:val="00FA4F64"/>
    <w:rsid w:val="00FA52B6"/>
    <w:rsid w:val="00FA5636"/>
    <w:rsid w:val="00FA56C5"/>
    <w:rsid w:val="00FA6927"/>
    <w:rsid w:val="00FB043A"/>
    <w:rsid w:val="00FB12F9"/>
    <w:rsid w:val="00FB33C7"/>
    <w:rsid w:val="00FB5C1E"/>
    <w:rsid w:val="00FB6291"/>
    <w:rsid w:val="00FC101F"/>
    <w:rsid w:val="00FC21A4"/>
    <w:rsid w:val="00FC23CB"/>
    <w:rsid w:val="00FC2724"/>
    <w:rsid w:val="00FC28FF"/>
    <w:rsid w:val="00FC3416"/>
    <w:rsid w:val="00FC4736"/>
    <w:rsid w:val="00FC6BC4"/>
    <w:rsid w:val="00FC6F78"/>
    <w:rsid w:val="00FD0135"/>
    <w:rsid w:val="00FD1022"/>
    <w:rsid w:val="00FD10A4"/>
    <w:rsid w:val="00FD3D47"/>
    <w:rsid w:val="00FD6E1E"/>
    <w:rsid w:val="00FD71C0"/>
    <w:rsid w:val="00FE1B42"/>
    <w:rsid w:val="00FE24F5"/>
    <w:rsid w:val="00FE299A"/>
    <w:rsid w:val="00FE38AE"/>
    <w:rsid w:val="00FE47B5"/>
    <w:rsid w:val="00FE5E73"/>
    <w:rsid w:val="00FF019F"/>
    <w:rsid w:val="00FF1656"/>
    <w:rsid w:val="00FF1D08"/>
    <w:rsid w:val="00FF3800"/>
    <w:rsid w:val="00FF3C85"/>
    <w:rsid w:val="00FF41ED"/>
    <w:rsid w:val="00FF581C"/>
    <w:rsid w:val="00FF669E"/>
    <w:rsid w:val="011000ED"/>
    <w:rsid w:val="015A5B01"/>
    <w:rsid w:val="015B3238"/>
    <w:rsid w:val="01675144"/>
    <w:rsid w:val="01675B2F"/>
    <w:rsid w:val="01D54BFB"/>
    <w:rsid w:val="01DE1773"/>
    <w:rsid w:val="01E71C1C"/>
    <w:rsid w:val="01EA0256"/>
    <w:rsid w:val="02105DD0"/>
    <w:rsid w:val="021459F8"/>
    <w:rsid w:val="021530A6"/>
    <w:rsid w:val="02315D47"/>
    <w:rsid w:val="023C37B3"/>
    <w:rsid w:val="02581A3B"/>
    <w:rsid w:val="028609C7"/>
    <w:rsid w:val="02C93F69"/>
    <w:rsid w:val="02DD1E51"/>
    <w:rsid w:val="02E64D83"/>
    <w:rsid w:val="02EE2F65"/>
    <w:rsid w:val="030F0B59"/>
    <w:rsid w:val="03313E4D"/>
    <w:rsid w:val="036B64D2"/>
    <w:rsid w:val="03915818"/>
    <w:rsid w:val="0399206C"/>
    <w:rsid w:val="03A44C68"/>
    <w:rsid w:val="03A7511A"/>
    <w:rsid w:val="03AD58A1"/>
    <w:rsid w:val="03B1713F"/>
    <w:rsid w:val="03E6060D"/>
    <w:rsid w:val="03F61310"/>
    <w:rsid w:val="04051239"/>
    <w:rsid w:val="041766B7"/>
    <w:rsid w:val="041A2F36"/>
    <w:rsid w:val="041A4C86"/>
    <w:rsid w:val="042A3104"/>
    <w:rsid w:val="0442423B"/>
    <w:rsid w:val="04564E56"/>
    <w:rsid w:val="04633CBC"/>
    <w:rsid w:val="04706D24"/>
    <w:rsid w:val="047A1C27"/>
    <w:rsid w:val="04D949F1"/>
    <w:rsid w:val="051C683A"/>
    <w:rsid w:val="055A53F6"/>
    <w:rsid w:val="056106F1"/>
    <w:rsid w:val="0575123A"/>
    <w:rsid w:val="05AA16C0"/>
    <w:rsid w:val="05B42F17"/>
    <w:rsid w:val="05C76307"/>
    <w:rsid w:val="05EC0902"/>
    <w:rsid w:val="05EE791E"/>
    <w:rsid w:val="05FF0FB4"/>
    <w:rsid w:val="06026309"/>
    <w:rsid w:val="062C6F51"/>
    <w:rsid w:val="063D4CBA"/>
    <w:rsid w:val="06AB491B"/>
    <w:rsid w:val="06BF6017"/>
    <w:rsid w:val="06CE02DD"/>
    <w:rsid w:val="06D118A6"/>
    <w:rsid w:val="06E4782C"/>
    <w:rsid w:val="07136AAE"/>
    <w:rsid w:val="074D02F5"/>
    <w:rsid w:val="07615E94"/>
    <w:rsid w:val="07746B42"/>
    <w:rsid w:val="0795448C"/>
    <w:rsid w:val="07B435D3"/>
    <w:rsid w:val="07B95623"/>
    <w:rsid w:val="07C75183"/>
    <w:rsid w:val="07C80EFB"/>
    <w:rsid w:val="07E850FA"/>
    <w:rsid w:val="07F97233"/>
    <w:rsid w:val="07FA43D1"/>
    <w:rsid w:val="07FC54FA"/>
    <w:rsid w:val="08120484"/>
    <w:rsid w:val="081E4FBF"/>
    <w:rsid w:val="08342A6E"/>
    <w:rsid w:val="08360D66"/>
    <w:rsid w:val="083A1BBD"/>
    <w:rsid w:val="084550CF"/>
    <w:rsid w:val="08893F59"/>
    <w:rsid w:val="08AD1C45"/>
    <w:rsid w:val="08AE7E09"/>
    <w:rsid w:val="08DC66E9"/>
    <w:rsid w:val="08E3764F"/>
    <w:rsid w:val="09314446"/>
    <w:rsid w:val="093B4BC3"/>
    <w:rsid w:val="094330CF"/>
    <w:rsid w:val="09634BE6"/>
    <w:rsid w:val="09652EA6"/>
    <w:rsid w:val="098826F0"/>
    <w:rsid w:val="099F5C8C"/>
    <w:rsid w:val="09A03EDE"/>
    <w:rsid w:val="09EC7545"/>
    <w:rsid w:val="09F75AC8"/>
    <w:rsid w:val="0A164C9A"/>
    <w:rsid w:val="0A2F7010"/>
    <w:rsid w:val="0A3221EC"/>
    <w:rsid w:val="0A3F2404"/>
    <w:rsid w:val="0A4342C3"/>
    <w:rsid w:val="0A71282D"/>
    <w:rsid w:val="0A8E3333"/>
    <w:rsid w:val="0AA005FF"/>
    <w:rsid w:val="0ABC446F"/>
    <w:rsid w:val="0AC91212"/>
    <w:rsid w:val="0AD375EB"/>
    <w:rsid w:val="0ADB7197"/>
    <w:rsid w:val="0ADC77D2"/>
    <w:rsid w:val="0AE722C1"/>
    <w:rsid w:val="0AFC675C"/>
    <w:rsid w:val="0B0E4E77"/>
    <w:rsid w:val="0B292F0B"/>
    <w:rsid w:val="0B2B0FEF"/>
    <w:rsid w:val="0B2D1FA3"/>
    <w:rsid w:val="0B3552CD"/>
    <w:rsid w:val="0B472137"/>
    <w:rsid w:val="0B5359F2"/>
    <w:rsid w:val="0B626F71"/>
    <w:rsid w:val="0B707741"/>
    <w:rsid w:val="0B79368E"/>
    <w:rsid w:val="0B8553B8"/>
    <w:rsid w:val="0BBC7E87"/>
    <w:rsid w:val="0BD30511"/>
    <w:rsid w:val="0BE24B2A"/>
    <w:rsid w:val="0C012C2E"/>
    <w:rsid w:val="0C1C614B"/>
    <w:rsid w:val="0C203FE4"/>
    <w:rsid w:val="0C3E178C"/>
    <w:rsid w:val="0C531D59"/>
    <w:rsid w:val="0C650314"/>
    <w:rsid w:val="0C6F1B8E"/>
    <w:rsid w:val="0C730102"/>
    <w:rsid w:val="0CCE042D"/>
    <w:rsid w:val="0CE33F55"/>
    <w:rsid w:val="0CF368AE"/>
    <w:rsid w:val="0D0958DF"/>
    <w:rsid w:val="0D126C01"/>
    <w:rsid w:val="0D132AE9"/>
    <w:rsid w:val="0D330BC5"/>
    <w:rsid w:val="0D3971A9"/>
    <w:rsid w:val="0D596E08"/>
    <w:rsid w:val="0D692839"/>
    <w:rsid w:val="0D705975"/>
    <w:rsid w:val="0D9E017C"/>
    <w:rsid w:val="0DBA7538"/>
    <w:rsid w:val="0DCF7DE4"/>
    <w:rsid w:val="0DE436B4"/>
    <w:rsid w:val="0E010CC3"/>
    <w:rsid w:val="0E047524"/>
    <w:rsid w:val="0E0B411A"/>
    <w:rsid w:val="0E0E6B16"/>
    <w:rsid w:val="0E2A1FC8"/>
    <w:rsid w:val="0E2E5853"/>
    <w:rsid w:val="0E437AB6"/>
    <w:rsid w:val="0E4A7F2A"/>
    <w:rsid w:val="0E574280"/>
    <w:rsid w:val="0E80608C"/>
    <w:rsid w:val="0E865590"/>
    <w:rsid w:val="0E8D30C4"/>
    <w:rsid w:val="0EA35DC8"/>
    <w:rsid w:val="0ECD50AB"/>
    <w:rsid w:val="0ED71A24"/>
    <w:rsid w:val="0EDB2765"/>
    <w:rsid w:val="0EE02FCE"/>
    <w:rsid w:val="0F087E2F"/>
    <w:rsid w:val="0F16254C"/>
    <w:rsid w:val="0F1F6A0C"/>
    <w:rsid w:val="0F200BC0"/>
    <w:rsid w:val="0F61774B"/>
    <w:rsid w:val="0F6A6E5B"/>
    <w:rsid w:val="0FA638D0"/>
    <w:rsid w:val="0FA67B58"/>
    <w:rsid w:val="0FB17A79"/>
    <w:rsid w:val="0FC71A98"/>
    <w:rsid w:val="0FD31DD3"/>
    <w:rsid w:val="0FD63E90"/>
    <w:rsid w:val="0FDC3796"/>
    <w:rsid w:val="0FE25952"/>
    <w:rsid w:val="0FE733F7"/>
    <w:rsid w:val="0FEA4C61"/>
    <w:rsid w:val="10215F58"/>
    <w:rsid w:val="104A4110"/>
    <w:rsid w:val="105C2AF8"/>
    <w:rsid w:val="1068419D"/>
    <w:rsid w:val="10704A9A"/>
    <w:rsid w:val="10A74F3C"/>
    <w:rsid w:val="10AC13BA"/>
    <w:rsid w:val="10C17FFF"/>
    <w:rsid w:val="10C95CDE"/>
    <w:rsid w:val="10CE03D1"/>
    <w:rsid w:val="11057D8F"/>
    <w:rsid w:val="1122342A"/>
    <w:rsid w:val="11310429"/>
    <w:rsid w:val="113969C6"/>
    <w:rsid w:val="114110AC"/>
    <w:rsid w:val="11537F0B"/>
    <w:rsid w:val="11695CA6"/>
    <w:rsid w:val="11705048"/>
    <w:rsid w:val="11755C50"/>
    <w:rsid w:val="11823EC9"/>
    <w:rsid w:val="119767EA"/>
    <w:rsid w:val="119F4776"/>
    <w:rsid w:val="11BE2A51"/>
    <w:rsid w:val="11C049F1"/>
    <w:rsid w:val="11D32976"/>
    <w:rsid w:val="124C2452"/>
    <w:rsid w:val="125D0CD0"/>
    <w:rsid w:val="126B4048"/>
    <w:rsid w:val="126C2C21"/>
    <w:rsid w:val="12704669"/>
    <w:rsid w:val="127777A6"/>
    <w:rsid w:val="12A762DD"/>
    <w:rsid w:val="12BE7183"/>
    <w:rsid w:val="12C53B99"/>
    <w:rsid w:val="12CA21E6"/>
    <w:rsid w:val="12E00516"/>
    <w:rsid w:val="12E61B91"/>
    <w:rsid w:val="12FE7EC7"/>
    <w:rsid w:val="13262C02"/>
    <w:rsid w:val="132C0590"/>
    <w:rsid w:val="13391EE1"/>
    <w:rsid w:val="133D1201"/>
    <w:rsid w:val="1340415D"/>
    <w:rsid w:val="13534B8E"/>
    <w:rsid w:val="135B0E75"/>
    <w:rsid w:val="13623676"/>
    <w:rsid w:val="136917E4"/>
    <w:rsid w:val="1370286E"/>
    <w:rsid w:val="13C7475D"/>
    <w:rsid w:val="13E64BE3"/>
    <w:rsid w:val="13F51386"/>
    <w:rsid w:val="144C66BC"/>
    <w:rsid w:val="148E5193"/>
    <w:rsid w:val="14900FF3"/>
    <w:rsid w:val="149E0ABD"/>
    <w:rsid w:val="14AE0492"/>
    <w:rsid w:val="152403E0"/>
    <w:rsid w:val="15316A58"/>
    <w:rsid w:val="15323E58"/>
    <w:rsid w:val="15480B03"/>
    <w:rsid w:val="15712BD2"/>
    <w:rsid w:val="158834F3"/>
    <w:rsid w:val="159348F7"/>
    <w:rsid w:val="15951645"/>
    <w:rsid w:val="159D49D2"/>
    <w:rsid w:val="15A62B6B"/>
    <w:rsid w:val="15C70A44"/>
    <w:rsid w:val="15E4044B"/>
    <w:rsid w:val="15E96C0C"/>
    <w:rsid w:val="160B79D8"/>
    <w:rsid w:val="160C2AF1"/>
    <w:rsid w:val="161C0D90"/>
    <w:rsid w:val="161D03CE"/>
    <w:rsid w:val="16200EC4"/>
    <w:rsid w:val="162C6AF9"/>
    <w:rsid w:val="164E791A"/>
    <w:rsid w:val="165D4F05"/>
    <w:rsid w:val="165F6ECF"/>
    <w:rsid w:val="16674B8C"/>
    <w:rsid w:val="16713443"/>
    <w:rsid w:val="167172CE"/>
    <w:rsid w:val="167A7865"/>
    <w:rsid w:val="16841F63"/>
    <w:rsid w:val="16926B95"/>
    <w:rsid w:val="169F72CB"/>
    <w:rsid w:val="16C3120C"/>
    <w:rsid w:val="171C5E98"/>
    <w:rsid w:val="172B3541"/>
    <w:rsid w:val="172B6DB1"/>
    <w:rsid w:val="173914CE"/>
    <w:rsid w:val="17616ABA"/>
    <w:rsid w:val="17747262"/>
    <w:rsid w:val="17811DA6"/>
    <w:rsid w:val="178C5AA1"/>
    <w:rsid w:val="179A4728"/>
    <w:rsid w:val="17AF79E2"/>
    <w:rsid w:val="17B25A89"/>
    <w:rsid w:val="17B337FB"/>
    <w:rsid w:val="17E46617"/>
    <w:rsid w:val="180E3AF2"/>
    <w:rsid w:val="181A4257"/>
    <w:rsid w:val="18287D36"/>
    <w:rsid w:val="182E5751"/>
    <w:rsid w:val="18492CF0"/>
    <w:rsid w:val="18600D52"/>
    <w:rsid w:val="18735F61"/>
    <w:rsid w:val="18C665EB"/>
    <w:rsid w:val="18D71108"/>
    <w:rsid w:val="18D97FF0"/>
    <w:rsid w:val="18F460C2"/>
    <w:rsid w:val="18F90F15"/>
    <w:rsid w:val="190C0439"/>
    <w:rsid w:val="19105B74"/>
    <w:rsid w:val="191F64A1"/>
    <w:rsid w:val="193006AE"/>
    <w:rsid w:val="19314B62"/>
    <w:rsid w:val="19403B4B"/>
    <w:rsid w:val="19436634"/>
    <w:rsid w:val="19521F72"/>
    <w:rsid w:val="195931A7"/>
    <w:rsid w:val="19616ABA"/>
    <w:rsid w:val="197902A7"/>
    <w:rsid w:val="19856003"/>
    <w:rsid w:val="199207CA"/>
    <w:rsid w:val="19AE4F67"/>
    <w:rsid w:val="19B11E80"/>
    <w:rsid w:val="19BC685E"/>
    <w:rsid w:val="19D01FA6"/>
    <w:rsid w:val="19D07227"/>
    <w:rsid w:val="19D33A80"/>
    <w:rsid w:val="19DA627B"/>
    <w:rsid w:val="19E27BFB"/>
    <w:rsid w:val="19EE3515"/>
    <w:rsid w:val="19EE4C0C"/>
    <w:rsid w:val="19FC12B5"/>
    <w:rsid w:val="1A18186E"/>
    <w:rsid w:val="1A202A12"/>
    <w:rsid w:val="1A3441CE"/>
    <w:rsid w:val="1A4058D7"/>
    <w:rsid w:val="1A6938B4"/>
    <w:rsid w:val="1A762A33"/>
    <w:rsid w:val="1A7D7923"/>
    <w:rsid w:val="1A93362A"/>
    <w:rsid w:val="1ABA0447"/>
    <w:rsid w:val="1ADE08E8"/>
    <w:rsid w:val="1B11796B"/>
    <w:rsid w:val="1B166C9C"/>
    <w:rsid w:val="1B167FD8"/>
    <w:rsid w:val="1B4F602F"/>
    <w:rsid w:val="1B571AF2"/>
    <w:rsid w:val="1B8A054A"/>
    <w:rsid w:val="1BA710FC"/>
    <w:rsid w:val="1C24307D"/>
    <w:rsid w:val="1C281B11"/>
    <w:rsid w:val="1C330F36"/>
    <w:rsid w:val="1C525CBB"/>
    <w:rsid w:val="1C6D27D4"/>
    <w:rsid w:val="1C9F56D4"/>
    <w:rsid w:val="1CC453FC"/>
    <w:rsid w:val="1CD2755E"/>
    <w:rsid w:val="1CF0262F"/>
    <w:rsid w:val="1CF138EC"/>
    <w:rsid w:val="1D30351C"/>
    <w:rsid w:val="1D51023F"/>
    <w:rsid w:val="1D816BAA"/>
    <w:rsid w:val="1D9C3CDA"/>
    <w:rsid w:val="1D9E090F"/>
    <w:rsid w:val="1DEB2440"/>
    <w:rsid w:val="1DF30295"/>
    <w:rsid w:val="1DFC795C"/>
    <w:rsid w:val="1E4569AA"/>
    <w:rsid w:val="1E472722"/>
    <w:rsid w:val="1E5D241C"/>
    <w:rsid w:val="1E5F5CBE"/>
    <w:rsid w:val="1E6A26E0"/>
    <w:rsid w:val="1E6F3DF0"/>
    <w:rsid w:val="1E705D94"/>
    <w:rsid w:val="1E88538C"/>
    <w:rsid w:val="1E8A3E65"/>
    <w:rsid w:val="1E9138F9"/>
    <w:rsid w:val="1EB53569"/>
    <w:rsid w:val="1ED62F14"/>
    <w:rsid w:val="1ED815CC"/>
    <w:rsid w:val="1EDE277C"/>
    <w:rsid w:val="1EEB0A71"/>
    <w:rsid w:val="1EFC7539"/>
    <w:rsid w:val="1F066139"/>
    <w:rsid w:val="1F131011"/>
    <w:rsid w:val="1F1F3E04"/>
    <w:rsid w:val="1F3E2C07"/>
    <w:rsid w:val="1F4D1FBA"/>
    <w:rsid w:val="1F6D5F2C"/>
    <w:rsid w:val="1F707A57"/>
    <w:rsid w:val="1FB21E1D"/>
    <w:rsid w:val="1FCA360B"/>
    <w:rsid w:val="1FCB5638"/>
    <w:rsid w:val="1FD45BCF"/>
    <w:rsid w:val="1FE85338"/>
    <w:rsid w:val="1FF13AA8"/>
    <w:rsid w:val="201C42C5"/>
    <w:rsid w:val="202645B9"/>
    <w:rsid w:val="203D209C"/>
    <w:rsid w:val="20433678"/>
    <w:rsid w:val="204A02A8"/>
    <w:rsid w:val="206B56EF"/>
    <w:rsid w:val="20796945"/>
    <w:rsid w:val="209E05F3"/>
    <w:rsid w:val="20B44B0A"/>
    <w:rsid w:val="20C27BBB"/>
    <w:rsid w:val="20C73664"/>
    <w:rsid w:val="20C932CD"/>
    <w:rsid w:val="2100305C"/>
    <w:rsid w:val="21117322"/>
    <w:rsid w:val="21132D8F"/>
    <w:rsid w:val="21224762"/>
    <w:rsid w:val="214F2B03"/>
    <w:rsid w:val="2150761A"/>
    <w:rsid w:val="216B6A7B"/>
    <w:rsid w:val="217A5B78"/>
    <w:rsid w:val="21A470C0"/>
    <w:rsid w:val="21E15DAE"/>
    <w:rsid w:val="21E91967"/>
    <w:rsid w:val="21EF4232"/>
    <w:rsid w:val="21EF7F69"/>
    <w:rsid w:val="21F35BF7"/>
    <w:rsid w:val="21FA1A8E"/>
    <w:rsid w:val="2228286B"/>
    <w:rsid w:val="22404603"/>
    <w:rsid w:val="22635BC0"/>
    <w:rsid w:val="226715E5"/>
    <w:rsid w:val="22704963"/>
    <w:rsid w:val="22803E07"/>
    <w:rsid w:val="22883C87"/>
    <w:rsid w:val="22943A5C"/>
    <w:rsid w:val="229A46E0"/>
    <w:rsid w:val="22B82FA5"/>
    <w:rsid w:val="22CA69FF"/>
    <w:rsid w:val="22E5225A"/>
    <w:rsid w:val="22F277D6"/>
    <w:rsid w:val="231352C9"/>
    <w:rsid w:val="23156F81"/>
    <w:rsid w:val="231E78A6"/>
    <w:rsid w:val="232657CD"/>
    <w:rsid w:val="23307A18"/>
    <w:rsid w:val="234B0EC2"/>
    <w:rsid w:val="235229D8"/>
    <w:rsid w:val="23BF71FF"/>
    <w:rsid w:val="23C10BF4"/>
    <w:rsid w:val="23C247D0"/>
    <w:rsid w:val="24083684"/>
    <w:rsid w:val="243005EF"/>
    <w:rsid w:val="24387FBF"/>
    <w:rsid w:val="244178B7"/>
    <w:rsid w:val="244F76AF"/>
    <w:rsid w:val="24511298"/>
    <w:rsid w:val="245A4698"/>
    <w:rsid w:val="247973AD"/>
    <w:rsid w:val="247F12C7"/>
    <w:rsid w:val="248D6176"/>
    <w:rsid w:val="249266C1"/>
    <w:rsid w:val="24FF253D"/>
    <w:rsid w:val="251610A0"/>
    <w:rsid w:val="25165023"/>
    <w:rsid w:val="251D6E63"/>
    <w:rsid w:val="25217561"/>
    <w:rsid w:val="2536529E"/>
    <w:rsid w:val="25495A04"/>
    <w:rsid w:val="25804F28"/>
    <w:rsid w:val="25826C83"/>
    <w:rsid w:val="25A4045A"/>
    <w:rsid w:val="25D30D3F"/>
    <w:rsid w:val="25DA20CE"/>
    <w:rsid w:val="25ED1E01"/>
    <w:rsid w:val="25EE2924"/>
    <w:rsid w:val="25F5515A"/>
    <w:rsid w:val="260016A2"/>
    <w:rsid w:val="2631589A"/>
    <w:rsid w:val="26437C73"/>
    <w:rsid w:val="264E314B"/>
    <w:rsid w:val="265D6277"/>
    <w:rsid w:val="26666271"/>
    <w:rsid w:val="266F6CBA"/>
    <w:rsid w:val="268551A0"/>
    <w:rsid w:val="269E759F"/>
    <w:rsid w:val="26A75E71"/>
    <w:rsid w:val="26AF718A"/>
    <w:rsid w:val="27281CD9"/>
    <w:rsid w:val="277E586A"/>
    <w:rsid w:val="278C4FD3"/>
    <w:rsid w:val="27AE3812"/>
    <w:rsid w:val="27BD53F7"/>
    <w:rsid w:val="27DC1F8E"/>
    <w:rsid w:val="27E76A69"/>
    <w:rsid w:val="2815563F"/>
    <w:rsid w:val="28237D5C"/>
    <w:rsid w:val="283673B3"/>
    <w:rsid w:val="283A50A6"/>
    <w:rsid w:val="28441A80"/>
    <w:rsid w:val="285B7210"/>
    <w:rsid w:val="286163A5"/>
    <w:rsid w:val="2866427A"/>
    <w:rsid w:val="286E6AFD"/>
    <w:rsid w:val="287B3F60"/>
    <w:rsid w:val="288E19BB"/>
    <w:rsid w:val="28A54C15"/>
    <w:rsid w:val="28CE392E"/>
    <w:rsid w:val="28E31299"/>
    <w:rsid w:val="28EC2B71"/>
    <w:rsid w:val="28F422F2"/>
    <w:rsid w:val="28FC6A0C"/>
    <w:rsid w:val="29233D8C"/>
    <w:rsid w:val="29235B3A"/>
    <w:rsid w:val="29646E07"/>
    <w:rsid w:val="297D75DC"/>
    <w:rsid w:val="298105D0"/>
    <w:rsid w:val="29A44ECD"/>
    <w:rsid w:val="29B8561E"/>
    <w:rsid w:val="29C40B45"/>
    <w:rsid w:val="29DB6414"/>
    <w:rsid w:val="29E90B31"/>
    <w:rsid w:val="29EE285F"/>
    <w:rsid w:val="2A04550C"/>
    <w:rsid w:val="2A1A7737"/>
    <w:rsid w:val="2A2677C7"/>
    <w:rsid w:val="2A2A689D"/>
    <w:rsid w:val="2A347513"/>
    <w:rsid w:val="2A4E6BE6"/>
    <w:rsid w:val="2A952A67"/>
    <w:rsid w:val="2AB92391"/>
    <w:rsid w:val="2AC322E4"/>
    <w:rsid w:val="2AD27817"/>
    <w:rsid w:val="2AD479B3"/>
    <w:rsid w:val="2AF05EF0"/>
    <w:rsid w:val="2B037F44"/>
    <w:rsid w:val="2B0A20B7"/>
    <w:rsid w:val="2B1E0CAF"/>
    <w:rsid w:val="2B4F4D2B"/>
    <w:rsid w:val="2B9560EB"/>
    <w:rsid w:val="2BB263CC"/>
    <w:rsid w:val="2BC64690"/>
    <w:rsid w:val="2BCF3D57"/>
    <w:rsid w:val="2BD03656"/>
    <w:rsid w:val="2BD46A48"/>
    <w:rsid w:val="2BD774CA"/>
    <w:rsid w:val="2BFB66F7"/>
    <w:rsid w:val="2C0F23A5"/>
    <w:rsid w:val="2C1C56EF"/>
    <w:rsid w:val="2C1F6A8C"/>
    <w:rsid w:val="2C3E7878"/>
    <w:rsid w:val="2C657F73"/>
    <w:rsid w:val="2C752B50"/>
    <w:rsid w:val="2C960008"/>
    <w:rsid w:val="2CB71165"/>
    <w:rsid w:val="2CBF4041"/>
    <w:rsid w:val="2CEA52EC"/>
    <w:rsid w:val="2CF75D91"/>
    <w:rsid w:val="2CF942B3"/>
    <w:rsid w:val="2D03111D"/>
    <w:rsid w:val="2D1A119B"/>
    <w:rsid w:val="2D1F65F8"/>
    <w:rsid w:val="2D4349FC"/>
    <w:rsid w:val="2D4C4AC2"/>
    <w:rsid w:val="2D606E87"/>
    <w:rsid w:val="2D71589E"/>
    <w:rsid w:val="2D790197"/>
    <w:rsid w:val="2D8762C3"/>
    <w:rsid w:val="2DA2182B"/>
    <w:rsid w:val="2DCB2BF7"/>
    <w:rsid w:val="2E046686"/>
    <w:rsid w:val="2E1113A3"/>
    <w:rsid w:val="2E264356"/>
    <w:rsid w:val="2E321E82"/>
    <w:rsid w:val="2E4862BB"/>
    <w:rsid w:val="2E5A5150"/>
    <w:rsid w:val="2E5F5B76"/>
    <w:rsid w:val="2E982E5A"/>
    <w:rsid w:val="2EB42CB5"/>
    <w:rsid w:val="2EBF4557"/>
    <w:rsid w:val="2ED07E1C"/>
    <w:rsid w:val="2ED31DB0"/>
    <w:rsid w:val="2EEE64F3"/>
    <w:rsid w:val="2F08618F"/>
    <w:rsid w:val="2F460387"/>
    <w:rsid w:val="2F740E9D"/>
    <w:rsid w:val="2F856536"/>
    <w:rsid w:val="2FB12D72"/>
    <w:rsid w:val="2FE3129F"/>
    <w:rsid w:val="2FEF255F"/>
    <w:rsid w:val="302724D4"/>
    <w:rsid w:val="30301D66"/>
    <w:rsid w:val="30326865"/>
    <w:rsid w:val="30332040"/>
    <w:rsid w:val="30597DE4"/>
    <w:rsid w:val="305D4027"/>
    <w:rsid w:val="306D3FD5"/>
    <w:rsid w:val="30AE6631"/>
    <w:rsid w:val="30BC7822"/>
    <w:rsid w:val="30C563D7"/>
    <w:rsid w:val="30DA11D4"/>
    <w:rsid w:val="30E2453D"/>
    <w:rsid w:val="30E8567F"/>
    <w:rsid w:val="30F37A18"/>
    <w:rsid w:val="31077AEF"/>
    <w:rsid w:val="314C2199"/>
    <w:rsid w:val="31555190"/>
    <w:rsid w:val="315C608D"/>
    <w:rsid w:val="31612B51"/>
    <w:rsid w:val="31837ABD"/>
    <w:rsid w:val="318617E3"/>
    <w:rsid w:val="318A49A8"/>
    <w:rsid w:val="31945827"/>
    <w:rsid w:val="319C7BC9"/>
    <w:rsid w:val="31A60340"/>
    <w:rsid w:val="31AB2B70"/>
    <w:rsid w:val="31EA0843"/>
    <w:rsid w:val="31F04BD9"/>
    <w:rsid w:val="31F3494A"/>
    <w:rsid w:val="320504D2"/>
    <w:rsid w:val="32146ADF"/>
    <w:rsid w:val="321B5F48"/>
    <w:rsid w:val="322C3CB1"/>
    <w:rsid w:val="322F72FD"/>
    <w:rsid w:val="324077EF"/>
    <w:rsid w:val="324A05DB"/>
    <w:rsid w:val="32506E1A"/>
    <w:rsid w:val="327464BA"/>
    <w:rsid w:val="328303AC"/>
    <w:rsid w:val="328E5468"/>
    <w:rsid w:val="328F1559"/>
    <w:rsid w:val="329E2752"/>
    <w:rsid w:val="32D05931"/>
    <w:rsid w:val="33115704"/>
    <w:rsid w:val="331E186E"/>
    <w:rsid w:val="3320177E"/>
    <w:rsid w:val="33310895"/>
    <w:rsid w:val="333E4462"/>
    <w:rsid w:val="33725637"/>
    <w:rsid w:val="33846C5E"/>
    <w:rsid w:val="338C5BD4"/>
    <w:rsid w:val="33AB6E58"/>
    <w:rsid w:val="33B57331"/>
    <w:rsid w:val="33C438E2"/>
    <w:rsid w:val="33CD4CDF"/>
    <w:rsid w:val="33CE06AC"/>
    <w:rsid w:val="33D903B5"/>
    <w:rsid w:val="33FE78CF"/>
    <w:rsid w:val="34056568"/>
    <w:rsid w:val="3406655E"/>
    <w:rsid w:val="341449FD"/>
    <w:rsid w:val="342342D4"/>
    <w:rsid w:val="34240B3E"/>
    <w:rsid w:val="346C263D"/>
    <w:rsid w:val="34715269"/>
    <w:rsid w:val="34722AB0"/>
    <w:rsid w:val="348B6E58"/>
    <w:rsid w:val="34B46D78"/>
    <w:rsid w:val="34E46AC5"/>
    <w:rsid w:val="34E9168F"/>
    <w:rsid w:val="34EE34A0"/>
    <w:rsid w:val="34F07CE7"/>
    <w:rsid w:val="34F91447"/>
    <w:rsid w:val="350D601C"/>
    <w:rsid w:val="35170C48"/>
    <w:rsid w:val="352367C6"/>
    <w:rsid w:val="352F71F1"/>
    <w:rsid w:val="35493D8A"/>
    <w:rsid w:val="35635C3C"/>
    <w:rsid w:val="356D389E"/>
    <w:rsid w:val="357F67EE"/>
    <w:rsid w:val="358D4105"/>
    <w:rsid w:val="358E3E5C"/>
    <w:rsid w:val="359C0A87"/>
    <w:rsid w:val="35B471E6"/>
    <w:rsid w:val="35C67696"/>
    <w:rsid w:val="35D23038"/>
    <w:rsid w:val="35D451CD"/>
    <w:rsid w:val="35DD6473"/>
    <w:rsid w:val="35ED19A9"/>
    <w:rsid w:val="35F448D8"/>
    <w:rsid w:val="35FD4D06"/>
    <w:rsid w:val="35FF55C0"/>
    <w:rsid w:val="360867E3"/>
    <w:rsid w:val="36137470"/>
    <w:rsid w:val="36285E3C"/>
    <w:rsid w:val="363313A6"/>
    <w:rsid w:val="36343134"/>
    <w:rsid w:val="363A2CB9"/>
    <w:rsid w:val="36441764"/>
    <w:rsid w:val="36513CE6"/>
    <w:rsid w:val="366559E4"/>
    <w:rsid w:val="367B0C36"/>
    <w:rsid w:val="3680281D"/>
    <w:rsid w:val="368816D2"/>
    <w:rsid w:val="368F2A60"/>
    <w:rsid w:val="369F2018"/>
    <w:rsid w:val="36A36F58"/>
    <w:rsid w:val="36D505F2"/>
    <w:rsid w:val="36DB4E77"/>
    <w:rsid w:val="36EE1F66"/>
    <w:rsid w:val="36F957AE"/>
    <w:rsid w:val="36FD02E4"/>
    <w:rsid w:val="376822D6"/>
    <w:rsid w:val="37835A9F"/>
    <w:rsid w:val="378B2856"/>
    <w:rsid w:val="379B0E13"/>
    <w:rsid w:val="37AB38CA"/>
    <w:rsid w:val="37BD3F4F"/>
    <w:rsid w:val="37DC61F1"/>
    <w:rsid w:val="380A6843"/>
    <w:rsid w:val="38322FFD"/>
    <w:rsid w:val="38400BF4"/>
    <w:rsid w:val="38445546"/>
    <w:rsid w:val="384E38F0"/>
    <w:rsid w:val="384F02E3"/>
    <w:rsid w:val="386826D9"/>
    <w:rsid w:val="38683569"/>
    <w:rsid w:val="38740160"/>
    <w:rsid w:val="389B749B"/>
    <w:rsid w:val="38A722E3"/>
    <w:rsid w:val="38DE11B1"/>
    <w:rsid w:val="38E4120A"/>
    <w:rsid w:val="390F7E89"/>
    <w:rsid w:val="394A60CC"/>
    <w:rsid w:val="394E454C"/>
    <w:rsid w:val="395525D9"/>
    <w:rsid w:val="395A33F7"/>
    <w:rsid w:val="395C1A2F"/>
    <w:rsid w:val="39854851"/>
    <w:rsid w:val="398F104B"/>
    <w:rsid w:val="39B812CF"/>
    <w:rsid w:val="39BE1FA7"/>
    <w:rsid w:val="3A137F9D"/>
    <w:rsid w:val="3A492E14"/>
    <w:rsid w:val="3A585AD6"/>
    <w:rsid w:val="3A61026B"/>
    <w:rsid w:val="3A712512"/>
    <w:rsid w:val="3A972F8C"/>
    <w:rsid w:val="3AD6113B"/>
    <w:rsid w:val="3B013496"/>
    <w:rsid w:val="3B0F4091"/>
    <w:rsid w:val="3B1139DC"/>
    <w:rsid w:val="3B245E6D"/>
    <w:rsid w:val="3B2B1648"/>
    <w:rsid w:val="3B5D2CA0"/>
    <w:rsid w:val="3B64270E"/>
    <w:rsid w:val="3B66781A"/>
    <w:rsid w:val="3B70143E"/>
    <w:rsid w:val="3B8C1145"/>
    <w:rsid w:val="3B93063C"/>
    <w:rsid w:val="3BAD6859"/>
    <w:rsid w:val="3BB20C19"/>
    <w:rsid w:val="3BBA124B"/>
    <w:rsid w:val="3BBC19D1"/>
    <w:rsid w:val="3BFD046C"/>
    <w:rsid w:val="3C02567B"/>
    <w:rsid w:val="3C0D3179"/>
    <w:rsid w:val="3C29300F"/>
    <w:rsid w:val="3C5A2D73"/>
    <w:rsid w:val="3C5F0CCB"/>
    <w:rsid w:val="3C942B7F"/>
    <w:rsid w:val="3CC005BE"/>
    <w:rsid w:val="3CEA279F"/>
    <w:rsid w:val="3CF11D7F"/>
    <w:rsid w:val="3D0715A3"/>
    <w:rsid w:val="3D49558F"/>
    <w:rsid w:val="3D5B369C"/>
    <w:rsid w:val="3D712EC0"/>
    <w:rsid w:val="3D7B3D7A"/>
    <w:rsid w:val="3D892D53"/>
    <w:rsid w:val="3DB50E27"/>
    <w:rsid w:val="3DC40CD9"/>
    <w:rsid w:val="3DE704E1"/>
    <w:rsid w:val="3DEC0266"/>
    <w:rsid w:val="3E1321C9"/>
    <w:rsid w:val="3E364DE3"/>
    <w:rsid w:val="3E451608"/>
    <w:rsid w:val="3E484649"/>
    <w:rsid w:val="3E4F1453"/>
    <w:rsid w:val="3E652AAC"/>
    <w:rsid w:val="3E671124"/>
    <w:rsid w:val="3E6F5DDB"/>
    <w:rsid w:val="3E8B00D4"/>
    <w:rsid w:val="3E9D795F"/>
    <w:rsid w:val="3EA214A5"/>
    <w:rsid w:val="3F0F473E"/>
    <w:rsid w:val="3F12422F"/>
    <w:rsid w:val="3F2E32FB"/>
    <w:rsid w:val="3F3102D3"/>
    <w:rsid w:val="3F343A5E"/>
    <w:rsid w:val="3F3D2265"/>
    <w:rsid w:val="3F520ACF"/>
    <w:rsid w:val="3F69657D"/>
    <w:rsid w:val="3FAF471F"/>
    <w:rsid w:val="3FB84DD6"/>
    <w:rsid w:val="3FC07FC0"/>
    <w:rsid w:val="3FCB4831"/>
    <w:rsid w:val="3FCC48BB"/>
    <w:rsid w:val="3FFF3A02"/>
    <w:rsid w:val="40093884"/>
    <w:rsid w:val="403812A0"/>
    <w:rsid w:val="403D244D"/>
    <w:rsid w:val="40467082"/>
    <w:rsid w:val="40560520"/>
    <w:rsid w:val="40AE1212"/>
    <w:rsid w:val="40F50EAB"/>
    <w:rsid w:val="40F6645A"/>
    <w:rsid w:val="41012C87"/>
    <w:rsid w:val="410A1661"/>
    <w:rsid w:val="410C3D84"/>
    <w:rsid w:val="412C782A"/>
    <w:rsid w:val="41523008"/>
    <w:rsid w:val="416A65A4"/>
    <w:rsid w:val="416F22DE"/>
    <w:rsid w:val="4171348E"/>
    <w:rsid w:val="417B7ADA"/>
    <w:rsid w:val="41F95891"/>
    <w:rsid w:val="421309EA"/>
    <w:rsid w:val="422C3859"/>
    <w:rsid w:val="424653C0"/>
    <w:rsid w:val="424B486E"/>
    <w:rsid w:val="424C39EC"/>
    <w:rsid w:val="42512158"/>
    <w:rsid w:val="42563522"/>
    <w:rsid w:val="425863FC"/>
    <w:rsid w:val="42A1447A"/>
    <w:rsid w:val="42A56F64"/>
    <w:rsid w:val="42AE4EE3"/>
    <w:rsid w:val="42B8752D"/>
    <w:rsid w:val="42C268E4"/>
    <w:rsid w:val="42C35F6C"/>
    <w:rsid w:val="42D60F92"/>
    <w:rsid w:val="42E3471F"/>
    <w:rsid w:val="42E61C5A"/>
    <w:rsid w:val="42F0224E"/>
    <w:rsid w:val="42FB60CE"/>
    <w:rsid w:val="43085C17"/>
    <w:rsid w:val="431467C7"/>
    <w:rsid w:val="43371E77"/>
    <w:rsid w:val="434D6F29"/>
    <w:rsid w:val="435C378C"/>
    <w:rsid w:val="436272BE"/>
    <w:rsid w:val="436274D2"/>
    <w:rsid w:val="43670FED"/>
    <w:rsid w:val="43BB4646"/>
    <w:rsid w:val="43CF505C"/>
    <w:rsid w:val="44033358"/>
    <w:rsid w:val="44087FCB"/>
    <w:rsid w:val="440B0F4C"/>
    <w:rsid w:val="440C3942"/>
    <w:rsid w:val="44424700"/>
    <w:rsid w:val="445C7456"/>
    <w:rsid w:val="446431D5"/>
    <w:rsid w:val="44E126D9"/>
    <w:rsid w:val="44E3498A"/>
    <w:rsid w:val="44EA2A76"/>
    <w:rsid w:val="451A208F"/>
    <w:rsid w:val="452C6036"/>
    <w:rsid w:val="453B1DDC"/>
    <w:rsid w:val="45482736"/>
    <w:rsid w:val="454D75BE"/>
    <w:rsid w:val="45682DFA"/>
    <w:rsid w:val="45683A2F"/>
    <w:rsid w:val="4574354D"/>
    <w:rsid w:val="457556F4"/>
    <w:rsid w:val="457572C5"/>
    <w:rsid w:val="4585533A"/>
    <w:rsid w:val="46164604"/>
    <w:rsid w:val="46317690"/>
    <w:rsid w:val="463527A3"/>
    <w:rsid w:val="46433D47"/>
    <w:rsid w:val="464F15F0"/>
    <w:rsid w:val="465529C5"/>
    <w:rsid w:val="46610468"/>
    <w:rsid w:val="46690BD8"/>
    <w:rsid w:val="469807FE"/>
    <w:rsid w:val="46CA48FD"/>
    <w:rsid w:val="46D7594D"/>
    <w:rsid w:val="46D832F5"/>
    <w:rsid w:val="46E05EA9"/>
    <w:rsid w:val="4706543A"/>
    <w:rsid w:val="471D19C3"/>
    <w:rsid w:val="47202E24"/>
    <w:rsid w:val="472471F5"/>
    <w:rsid w:val="473D64AB"/>
    <w:rsid w:val="47564260"/>
    <w:rsid w:val="476C293E"/>
    <w:rsid w:val="47755D63"/>
    <w:rsid w:val="47775DC3"/>
    <w:rsid w:val="47870344"/>
    <w:rsid w:val="479733DA"/>
    <w:rsid w:val="479E48B1"/>
    <w:rsid w:val="47A15BEC"/>
    <w:rsid w:val="47BD0438"/>
    <w:rsid w:val="47ED1BE5"/>
    <w:rsid w:val="48003680"/>
    <w:rsid w:val="480F755D"/>
    <w:rsid w:val="4812529F"/>
    <w:rsid w:val="48166B3E"/>
    <w:rsid w:val="484E0CD8"/>
    <w:rsid w:val="48666FA6"/>
    <w:rsid w:val="486C398E"/>
    <w:rsid w:val="486F26F2"/>
    <w:rsid w:val="489B5B2F"/>
    <w:rsid w:val="48AE4FC8"/>
    <w:rsid w:val="48B54FCB"/>
    <w:rsid w:val="48B63E7D"/>
    <w:rsid w:val="48B81A66"/>
    <w:rsid w:val="48D93187"/>
    <w:rsid w:val="48F0738F"/>
    <w:rsid w:val="49025314"/>
    <w:rsid w:val="49145EE8"/>
    <w:rsid w:val="4941108D"/>
    <w:rsid w:val="49517783"/>
    <w:rsid w:val="497477B9"/>
    <w:rsid w:val="498A7C7D"/>
    <w:rsid w:val="49971591"/>
    <w:rsid w:val="499A379E"/>
    <w:rsid w:val="49C013EE"/>
    <w:rsid w:val="49D21D17"/>
    <w:rsid w:val="49FB5DCE"/>
    <w:rsid w:val="4A0D3F70"/>
    <w:rsid w:val="4A192915"/>
    <w:rsid w:val="4A563B69"/>
    <w:rsid w:val="4A5907F7"/>
    <w:rsid w:val="4A5E47CC"/>
    <w:rsid w:val="4A633B90"/>
    <w:rsid w:val="4AC167CD"/>
    <w:rsid w:val="4AC22FAD"/>
    <w:rsid w:val="4AC607A1"/>
    <w:rsid w:val="4AC76815"/>
    <w:rsid w:val="4AD807FC"/>
    <w:rsid w:val="4B012A07"/>
    <w:rsid w:val="4B1C090F"/>
    <w:rsid w:val="4B213A82"/>
    <w:rsid w:val="4B2754A2"/>
    <w:rsid w:val="4B2B19A0"/>
    <w:rsid w:val="4B403389"/>
    <w:rsid w:val="4B491961"/>
    <w:rsid w:val="4B632B49"/>
    <w:rsid w:val="4B731DB3"/>
    <w:rsid w:val="4B767C3F"/>
    <w:rsid w:val="4B8B15F1"/>
    <w:rsid w:val="4B8B339F"/>
    <w:rsid w:val="4B8F76B3"/>
    <w:rsid w:val="4B973670"/>
    <w:rsid w:val="4BAE5EF1"/>
    <w:rsid w:val="4BCF242E"/>
    <w:rsid w:val="4BFB5A9F"/>
    <w:rsid w:val="4C1818E1"/>
    <w:rsid w:val="4C2A69C2"/>
    <w:rsid w:val="4C416153"/>
    <w:rsid w:val="4C492ADF"/>
    <w:rsid w:val="4C591DBC"/>
    <w:rsid w:val="4C636A9C"/>
    <w:rsid w:val="4C654B53"/>
    <w:rsid w:val="4C6D21BF"/>
    <w:rsid w:val="4C760A69"/>
    <w:rsid w:val="4C997D3D"/>
    <w:rsid w:val="4CDD35A1"/>
    <w:rsid w:val="4CDD5FFA"/>
    <w:rsid w:val="4D1A4185"/>
    <w:rsid w:val="4D222EA8"/>
    <w:rsid w:val="4D423F31"/>
    <w:rsid w:val="4D4F1C3E"/>
    <w:rsid w:val="4D553C64"/>
    <w:rsid w:val="4D63407F"/>
    <w:rsid w:val="4D7E01AA"/>
    <w:rsid w:val="4D864A51"/>
    <w:rsid w:val="4D8F40AE"/>
    <w:rsid w:val="4DBC30CA"/>
    <w:rsid w:val="4DBE18B2"/>
    <w:rsid w:val="4DEA6AA2"/>
    <w:rsid w:val="4E0B4C6B"/>
    <w:rsid w:val="4E417485"/>
    <w:rsid w:val="4E4D5283"/>
    <w:rsid w:val="4EA8689C"/>
    <w:rsid w:val="4EB30FCB"/>
    <w:rsid w:val="4EEE4370"/>
    <w:rsid w:val="4EF975E5"/>
    <w:rsid w:val="4F0A3685"/>
    <w:rsid w:val="4F381A8F"/>
    <w:rsid w:val="4F3D590F"/>
    <w:rsid w:val="4F55619D"/>
    <w:rsid w:val="4F64041C"/>
    <w:rsid w:val="4F6412B1"/>
    <w:rsid w:val="4F875CF3"/>
    <w:rsid w:val="4F9756BA"/>
    <w:rsid w:val="4FB832AB"/>
    <w:rsid w:val="4FF65D82"/>
    <w:rsid w:val="5014278F"/>
    <w:rsid w:val="504D2C25"/>
    <w:rsid w:val="506165F9"/>
    <w:rsid w:val="508E6B83"/>
    <w:rsid w:val="509664F0"/>
    <w:rsid w:val="50C3037B"/>
    <w:rsid w:val="5119144D"/>
    <w:rsid w:val="512B46B3"/>
    <w:rsid w:val="51744F0E"/>
    <w:rsid w:val="51762024"/>
    <w:rsid w:val="517D384B"/>
    <w:rsid w:val="519E14F8"/>
    <w:rsid w:val="51B654BE"/>
    <w:rsid w:val="51C97679"/>
    <w:rsid w:val="51EF3EB7"/>
    <w:rsid w:val="51F31C9E"/>
    <w:rsid w:val="51FE13A6"/>
    <w:rsid w:val="520E65E0"/>
    <w:rsid w:val="52110687"/>
    <w:rsid w:val="521C68BA"/>
    <w:rsid w:val="521C7446"/>
    <w:rsid w:val="522916A8"/>
    <w:rsid w:val="52320A18"/>
    <w:rsid w:val="523B0FB7"/>
    <w:rsid w:val="523F4EE3"/>
    <w:rsid w:val="524D4D51"/>
    <w:rsid w:val="52695BA4"/>
    <w:rsid w:val="52725BD5"/>
    <w:rsid w:val="52906955"/>
    <w:rsid w:val="52A81D11"/>
    <w:rsid w:val="52C948AD"/>
    <w:rsid w:val="52D63A99"/>
    <w:rsid w:val="52DA2DCB"/>
    <w:rsid w:val="52FB03B1"/>
    <w:rsid w:val="52FC2DD4"/>
    <w:rsid w:val="53364538"/>
    <w:rsid w:val="535D654E"/>
    <w:rsid w:val="53782517"/>
    <w:rsid w:val="537E2F39"/>
    <w:rsid w:val="53804639"/>
    <w:rsid w:val="538B765D"/>
    <w:rsid w:val="539D1F24"/>
    <w:rsid w:val="539F5A31"/>
    <w:rsid w:val="53A0563E"/>
    <w:rsid w:val="53B24037"/>
    <w:rsid w:val="53E75832"/>
    <w:rsid w:val="53F90716"/>
    <w:rsid w:val="53FE4303"/>
    <w:rsid w:val="53FF2B7C"/>
    <w:rsid w:val="540208BE"/>
    <w:rsid w:val="540E7263"/>
    <w:rsid w:val="5415666A"/>
    <w:rsid w:val="541C7FD6"/>
    <w:rsid w:val="541D6638"/>
    <w:rsid w:val="54387E3C"/>
    <w:rsid w:val="54564770"/>
    <w:rsid w:val="546E385E"/>
    <w:rsid w:val="548412D3"/>
    <w:rsid w:val="54B5223F"/>
    <w:rsid w:val="54B66F7A"/>
    <w:rsid w:val="54C04149"/>
    <w:rsid w:val="54C85664"/>
    <w:rsid w:val="54D4350C"/>
    <w:rsid w:val="54D7298C"/>
    <w:rsid w:val="54EF0E42"/>
    <w:rsid w:val="54F70D10"/>
    <w:rsid w:val="550C5E93"/>
    <w:rsid w:val="55174854"/>
    <w:rsid w:val="552D5299"/>
    <w:rsid w:val="55356DD3"/>
    <w:rsid w:val="554742DF"/>
    <w:rsid w:val="557C0B34"/>
    <w:rsid w:val="557E4224"/>
    <w:rsid w:val="55811A61"/>
    <w:rsid w:val="558A2919"/>
    <w:rsid w:val="55942B9B"/>
    <w:rsid w:val="55AB5E5F"/>
    <w:rsid w:val="55BF0815"/>
    <w:rsid w:val="55C3427B"/>
    <w:rsid w:val="55D87DB9"/>
    <w:rsid w:val="55E07D71"/>
    <w:rsid w:val="56557611"/>
    <w:rsid w:val="56695701"/>
    <w:rsid w:val="567F61F6"/>
    <w:rsid w:val="56982437"/>
    <w:rsid w:val="56A8574D"/>
    <w:rsid w:val="56B45E9F"/>
    <w:rsid w:val="56BB787F"/>
    <w:rsid w:val="56BE6D1E"/>
    <w:rsid w:val="56D36A74"/>
    <w:rsid w:val="56D71B8E"/>
    <w:rsid w:val="56FC15F5"/>
    <w:rsid w:val="56FE0B98"/>
    <w:rsid w:val="571365A9"/>
    <w:rsid w:val="573C40E7"/>
    <w:rsid w:val="574D00A2"/>
    <w:rsid w:val="575431DF"/>
    <w:rsid w:val="57624E27"/>
    <w:rsid w:val="57711FE2"/>
    <w:rsid w:val="577377C7"/>
    <w:rsid w:val="57743881"/>
    <w:rsid w:val="578F505B"/>
    <w:rsid w:val="57CF5333"/>
    <w:rsid w:val="57E21BFC"/>
    <w:rsid w:val="58241EF3"/>
    <w:rsid w:val="582825CA"/>
    <w:rsid w:val="583F4F9F"/>
    <w:rsid w:val="584119B5"/>
    <w:rsid w:val="58495780"/>
    <w:rsid w:val="585D3419"/>
    <w:rsid w:val="589D0BB5"/>
    <w:rsid w:val="58A02D09"/>
    <w:rsid w:val="58A64A46"/>
    <w:rsid w:val="58B02697"/>
    <w:rsid w:val="58BE5179"/>
    <w:rsid w:val="58D463D9"/>
    <w:rsid w:val="58D63FF9"/>
    <w:rsid w:val="58F22CAF"/>
    <w:rsid w:val="59140E77"/>
    <w:rsid w:val="5916525E"/>
    <w:rsid w:val="591D7B9E"/>
    <w:rsid w:val="592C753A"/>
    <w:rsid w:val="593B22E3"/>
    <w:rsid w:val="59544440"/>
    <w:rsid w:val="59613991"/>
    <w:rsid w:val="59657925"/>
    <w:rsid w:val="59891978"/>
    <w:rsid w:val="59C858C7"/>
    <w:rsid w:val="59C97EB4"/>
    <w:rsid w:val="59D33F09"/>
    <w:rsid w:val="59ED3B94"/>
    <w:rsid w:val="5A0A4670"/>
    <w:rsid w:val="5A5A0B0C"/>
    <w:rsid w:val="5A7A2F5C"/>
    <w:rsid w:val="5A853658"/>
    <w:rsid w:val="5AA20705"/>
    <w:rsid w:val="5ABD2FE1"/>
    <w:rsid w:val="5AC62645"/>
    <w:rsid w:val="5ADF230C"/>
    <w:rsid w:val="5AE01AED"/>
    <w:rsid w:val="5AE44879"/>
    <w:rsid w:val="5AE644F3"/>
    <w:rsid w:val="5B2524D1"/>
    <w:rsid w:val="5B4051A0"/>
    <w:rsid w:val="5B4070FF"/>
    <w:rsid w:val="5B842CD4"/>
    <w:rsid w:val="5B9F6F6C"/>
    <w:rsid w:val="5BA32BE2"/>
    <w:rsid w:val="5BDE263F"/>
    <w:rsid w:val="5BDE751B"/>
    <w:rsid w:val="5BEC1C38"/>
    <w:rsid w:val="5BFA581C"/>
    <w:rsid w:val="5BFE7BBD"/>
    <w:rsid w:val="5C4B3AF1"/>
    <w:rsid w:val="5C5B5D65"/>
    <w:rsid w:val="5C8E2A76"/>
    <w:rsid w:val="5CA5244F"/>
    <w:rsid w:val="5CB309A7"/>
    <w:rsid w:val="5CBA7F88"/>
    <w:rsid w:val="5CC74453"/>
    <w:rsid w:val="5CD66444"/>
    <w:rsid w:val="5CDA23D8"/>
    <w:rsid w:val="5D1042A4"/>
    <w:rsid w:val="5D213B63"/>
    <w:rsid w:val="5D243764"/>
    <w:rsid w:val="5D3024A7"/>
    <w:rsid w:val="5D321B84"/>
    <w:rsid w:val="5D3E6E87"/>
    <w:rsid w:val="5D561394"/>
    <w:rsid w:val="5D894E7F"/>
    <w:rsid w:val="5D894F1F"/>
    <w:rsid w:val="5D97475B"/>
    <w:rsid w:val="5D9E0C3D"/>
    <w:rsid w:val="5DB13660"/>
    <w:rsid w:val="5DBC57F9"/>
    <w:rsid w:val="5DC3599E"/>
    <w:rsid w:val="5DED7816"/>
    <w:rsid w:val="5E1A6F76"/>
    <w:rsid w:val="5E1B4A56"/>
    <w:rsid w:val="5E1F2C9F"/>
    <w:rsid w:val="5E59557E"/>
    <w:rsid w:val="5E892B2C"/>
    <w:rsid w:val="5E893FFC"/>
    <w:rsid w:val="5E8E261A"/>
    <w:rsid w:val="5E9F7E9B"/>
    <w:rsid w:val="5EAE501F"/>
    <w:rsid w:val="5EB82E5E"/>
    <w:rsid w:val="5ED66BCF"/>
    <w:rsid w:val="5EDA694A"/>
    <w:rsid w:val="5EEC63F2"/>
    <w:rsid w:val="5EF86B45"/>
    <w:rsid w:val="5F2931A3"/>
    <w:rsid w:val="5F505810"/>
    <w:rsid w:val="5F593A88"/>
    <w:rsid w:val="5F6521F2"/>
    <w:rsid w:val="5F77091D"/>
    <w:rsid w:val="5F780EB8"/>
    <w:rsid w:val="5FB236D6"/>
    <w:rsid w:val="5FE87C52"/>
    <w:rsid w:val="60085DAB"/>
    <w:rsid w:val="603D004A"/>
    <w:rsid w:val="6070184B"/>
    <w:rsid w:val="607322FD"/>
    <w:rsid w:val="60732927"/>
    <w:rsid w:val="60934D78"/>
    <w:rsid w:val="60951D63"/>
    <w:rsid w:val="609B2827"/>
    <w:rsid w:val="60AC636B"/>
    <w:rsid w:val="60C53E4A"/>
    <w:rsid w:val="60CF121E"/>
    <w:rsid w:val="60D01CC0"/>
    <w:rsid w:val="60DA1BF4"/>
    <w:rsid w:val="60F5158E"/>
    <w:rsid w:val="610D3512"/>
    <w:rsid w:val="61285B37"/>
    <w:rsid w:val="612F4F80"/>
    <w:rsid w:val="617140C2"/>
    <w:rsid w:val="61903F6A"/>
    <w:rsid w:val="61953398"/>
    <w:rsid w:val="61BA5208"/>
    <w:rsid w:val="61D37A7C"/>
    <w:rsid w:val="61FB296E"/>
    <w:rsid w:val="623A1E84"/>
    <w:rsid w:val="62517694"/>
    <w:rsid w:val="626544F2"/>
    <w:rsid w:val="629A054E"/>
    <w:rsid w:val="62AA04E5"/>
    <w:rsid w:val="62BB05B6"/>
    <w:rsid w:val="62CB71C3"/>
    <w:rsid w:val="62E8702A"/>
    <w:rsid w:val="62EB67A0"/>
    <w:rsid w:val="62F03EEC"/>
    <w:rsid w:val="632C3360"/>
    <w:rsid w:val="632C670F"/>
    <w:rsid w:val="633D0353"/>
    <w:rsid w:val="633D546F"/>
    <w:rsid w:val="634F574E"/>
    <w:rsid w:val="63584057"/>
    <w:rsid w:val="636E41A3"/>
    <w:rsid w:val="637A7E7B"/>
    <w:rsid w:val="639D3970"/>
    <w:rsid w:val="63A93934"/>
    <w:rsid w:val="63BE7116"/>
    <w:rsid w:val="63D84878"/>
    <w:rsid w:val="640C4505"/>
    <w:rsid w:val="64131EB4"/>
    <w:rsid w:val="641C5084"/>
    <w:rsid w:val="6421079F"/>
    <w:rsid w:val="64411153"/>
    <w:rsid w:val="646F3406"/>
    <w:rsid w:val="647D4422"/>
    <w:rsid w:val="64901ABB"/>
    <w:rsid w:val="64AF7F15"/>
    <w:rsid w:val="64BB5059"/>
    <w:rsid w:val="64E95E1E"/>
    <w:rsid w:val="64F81CAE"/>
    <w:rsid w:val="657C3BF4"/>
    <w:rsid w:val="658271AD"/>
    <w:rsid w:val="65905D2A"/>
    <w:rsid w:val="659E37D0"/>
    <w:rsid w:val="65B10EA9"/>
    <w:rsid w:val="65B7760C"/>
    <w:rsid w:val="65C21C5B"/>
    <w:rsid w:val="65DB4536"/>
    <w:rsid w:val="65E514E0"/>
    <w:rsid w:val="661324B7"/>
    <w:rsid w:val="661B74FF"/>
    <w:rsid w:val="661D0A78"/>
    <w:rsid w:val="663D0055"/>
    <w:rsid w:val="664838F4"/>
    <w:rsid w:val="66926BE0"/>
    <w:rsid w:val="66974E96"/>
    <w:rsid w:val="66AD63BC"/>
    <w:rsid w:val="66E250A2"/>
    <w:rsid w:val="66FB1A86"/>
    <w:rsid w:val="66FE276E"/>
    <w:rsid w:val="670644FB"/>
    <w:rsid w:val="672A5D0A"/>
    <w:rsid w:val="674C56D6"/>
    <w:rsid w:val="675114E9"/>
    <w:rsid w:val="6773320D"/>
    <w:rsid w:val="6794091E"/>
    <w:rsid w:val="67B22996"/>
    <w:rsid w:val="67C50E3C"/>
    <w:rsid w:val="68006160"/>
    <w:rsid w:val="680E5DD1"/>
    <w:rsid w:val="682269E1"/>
    <w:rsid w:val="682A23EF"/>
    <w:rsid w:val="683E7CF8"/>
    <w:rsid w:val="68471BE0"/>
    <w:rsid w:val="686F7FBC"/>
    <w:rsid w:val="687234C5"/>
    <w:rsid w:val="68825BBE"/>
    <w:rsid w:val="688558EE"/>
    <w:rsid w:val="68930602"/>
    <w:rsid w:val="68CD63AF"/>
    <w:rsid w:val="68E320F2"/>
    <w:rsid w:val="68E34773"/>
    <w:rsid w:val="68E83DEE"/>
    <w:rsid w:val="68F149E9"/>
    <w:rsid w:val="69102BCA"/>
    <w:rsid w:val="692A64AA"/>
    <w:rsid w:val="694A6CE4"/>
    <w:rsid w:val="696026C6"/>
    <w:rsid w:val="69670922"/>
    <w:rsid w:val="697E3764"/>
    <w:rsid w:val="69A83A8A"/>
    <w:rsid w:val="69C44235"/>
    <w:rsid w:val="69D40537"/>
    <w:rsid w:val="69E5416A"/>
    <w:rsid w:val="69E91EAC"/>
    <w:rsid w:val="69F721BB"/>
    <w:rsid w:val="69FF7669"/>
    <w:rsid w:val="6A0D65B7"/>
    <w:rsid w:val="6A126E96"/>
    <w:rsid w:val="6A1A6664"/>
    <w:rsid w:val="6A2820A4"/>
    <w:rsid w:val="6A507644"/>
    <w:rsid w:val="6A8A438F"/>
    <w:rsid w:val="6A9E0AB3"/>
    <w:rsid w:val="6AB408A7"/>
    <w:rsid w:val="6AC01B8A"/>
    <w:rsid w:val="6AE05C39"/>
    <w:rsid w:val="6AE23394"/>
    <w:rsid w:val="6AE745F9"/>
    <w:rsid w:val="6AF9548E"/>
    <w:rsid w:val="6B0D1BCA"/>
    <w:rsid w:val="6B286A04"/>
    <w:rsid w:val="6B2D63A9"/>
    <w:rsid w:val="6B790EAD"/>
    <w:rsid w:val="6B7B1AB7"/>
    <w:rsid w:val="6B833C3B"/>
    <w:rsid w:val="6B8A321B"/>
    <w:rsid w:val="6B9C13F7"/>
    <w:rsid w:val="6BAD7E7A"/>
    <w:rsid w:val="6BB67B6C"/>
    <w:rsid w:val="6BD04D86"/>
    <w:rsid w:val="6BD271C2"/>
    <w:rsid w:val="6BF30DC0"/>
    <w:rsid w:val="6C08382D"/>
    <w:rsid w:val="6C1E029B"/>
    <w:rsid w:val="6C376EFF"/>
    <w:rsid w:val="6C8008FA"/>
    <w:rsid w:val="6C815A64"/>
    <w:rsid w:val="6C837D16"/>
    <w:rsid w:val="6CAD3F5D"/>
    <w:rsid w:val="6CC938CF"/>
    <w:rsid w:val="6CD40BF2"/>
    <w:rsid w:val="6CE70DD5"/>
    <w:rsid w:val="6CEC6FD0"/>
    <w:rsid w:val="6D0667F3"/>
    <w:rsid w:val="6D082649"/>
    <w:rsid w:val="6D0F14E4"/>
    <w:rsid w:val="6D365409"/>
    <w:rsid w:val="6D372F2F"/>
    <w:rsid w:val="6D457AF8"/>
    <w:rsid w:val="6D497F80"/>
    <w:rsid w:val="6D5B0C11"/>
    <w:rsid w:val="6D6C06F9"/>
    <w:rsid w:val="6D7248DA"/>
    <w:rsid w:val="6DFB26A7"/>
    <w:rsid w:val="6E05156B"/>
    <w:rsid w:val="6E16363D"/>
    <w:rsid w:val="6E5C11E4"/>
    <w:rsid w:val="6E6200D6"/>
    <w:rsid w:val="6E764F10"/>
    <w:rsid w:val="6E957F0D"/>
    <w:rsid w:val="6EAE0F07"/>
    <w:rsid w:val="6EAF6E1E"/>
    <w:rsid w:val="6EB214F8"/>
    <w:rsid w:val="6ECD257D"/>
    <w:rsid w:val="6F2E237E"/>
    <w:rsid w:val="6F4162A3"/>
    <w:rsid w:val="6F4337BF"/>
    <w:rsid w:val="6F4715AA"/>
    <w:rsid w:val="6F4D6D8E"/>
    <w:rsid w:val="6F8654C7"/>
    <w:rsid w:val="6F875CF8"/>
    <w:rsid w:val="6F9C351D"/>
    <w:rsid w:val="6FB76C2C"/>
    <w:rsid w:val="6FBB4827"/>
    <w:rsid w:val="6FDE7692"/>
    <w:rsid w:val="6FE20C5A"/>
    <w:rsid w:val="70096E04"/>
    <w:rsid w:val="703419D5"/>
    <w:rsid w:val="706C7393"/>
    <w:rsid w:val="70A13A78"/>
    <w:rsid w:val="70A46B2D"/>
    <w:rsid w:val="70A73F27"/>
    <w:rsid w:val="70D37878"/>
    <w:rsid w:val="70D4148F"/>
    <w:rsid w:val="70DA6118"/>
    <w:rsid w:val="70DF1913"/>
    <w:rsid w:val="70E47206"/>
    <w:rsid w:val="70E76A1A"/>
    <w:rsid w:val="70EE322F"/>
    <w:rsid w:val="71040444"/>
    <w:rsid w:val="710A1191"/>
    <w:rsid w:val="71327C95"/>
    <w:rsid w:val="719E532A"/>
    <w:rsid w:val="71A32843"/>
    <w:rsid w:val="71AA4688"/>
    <w:rsid w:val="71DE04A1"/>
    <w:rsid w:val="71F26DC6"/>
    <w:rsid w:val="72020DF7"/>
    <w:rsid w:val="723F4D5F"/>
    <w:rsid w:val="725B146D"/>
    <w:rsid w:val="72693B8A"/>
    <w:rsid w:val="726A1A49"/>
    <w:rsid w:val="728515C4"/>
    <w:rsid w:val="729B7CFB"/>
    <w:rsid w:val="72B22757"/>
    <w:rsid w:val="72D75A21"/>
    <w:rsid w:val="72E346B0"/>
    <w:rsid w:val="732F29F0"/>
    <w:rsid w:val="73351CBE"/>
    <w:rsid w:val="733A1083"/>
    <w:rsid w:val="73691968"/>
    <w:rsid w:val="73926835"/>
    <w:rsid w:val="73AF381F"/>
    <w:rsid w:val="73C376C0"/>
    <w:rsid w:val="73C87247"/>
    <w:rsid w:val="73E92C7C"/>
    <w:rsid w:val="73EB2977"/>
    <w:rsid w:val="73F6144E"/>
    <w:rsid w:val="740A4EF9"/>
    <w:rsid w:val="74275AAB"/>
    <w:rsid w:val="744A2D86"/>
    <w:rsid w:val="74512BC5"/>
    <w:rsid w:val="747043AB"/>
    <w:rsid w:val="749B76FF"/>
    <w:rsid w:val="74A569D0"/>
    <w:rsid w:val="74AC7C5D"/>
    <w:rsid w:val="74B775BA"/>
    <w:rsid w:val="74FB73CA"/>
    <w:rsid w:val="7516167C"/>
    <w:rsid w:val="757B59AA"/>
    <w:rsid w:val="75AD3867"/>
    <w:rsid w:val="75B14D34"/>
    <w:rsid w:val="75F751FF"/>
    <w:rsid w:val="76212D3F"/>
    <w:rsid w:val="763B583E"/>
    <w:rsid w:val="76426BCC"/>
    <w:rsid w:val="765878F4"/>
    <w:rsid w:val="766C7022"/>
    <w:rsid w:val="767B0330"/>
    <w:rsid w:val="768A1923"/>
    <w:rsid w:val="76A320DC"/>
    <w:rsid w:val="76B949B4"/>
    <w:rsid w:val="76F679B7"/>
    <w:rsid w:val="772B67BA"/>
    <w:rsid w:val="77534E09"/>
    <w:rsid w:val="77662698"/>
    <w:rsid w:val="77754D7F"/>
    <w:rsid w:val="77851AAC"/>
    <w:rsid w:val="7792494C"/>
    <w:rsid w:val="77A17922"/>
    <w:rsid w:val="77A45665"/>
    <w:rsid w:val="77A54FC2"/>
    <w:rsid w:val="77B77909"/>
    <w:rsid w:val="77D55B8F"/>
    <w:rsid w:val="780103C1"/>
    <w:rsid w:val="781D6BB2"/>
    <w:rsid w:val="78280961"/>
    <w:rsid w:val="78685D92"/>
    <w:rsid w:val="78821635"/>
    <w:rsid w:val="7897547D"/>
    <w:rsid w:val="789E4958"/>
    <w:rsid w:val="78A93EDD"/>
    <w:rsid w:val="78B418D7"/>
    <w:rsid w:val="78DF24B4"/>
    <w:rsid w:val="79196BE1"/>
    <w:rsid w:val="79323CB3"/>
    <w:rsid w:val="79544CB5"/>
    <w:rsid w:val="797D7A85"/>
    <w:rsid w:val="79E139F7"/>
    <w:rsid w:val="7A343D38"/>
    <w:rsid w:val="7A527A6D"/>
    <w:rsid w:val="7A5769BE"/>
    <w:rsid w:val="7A6C3DAC"/>
    <w:rsid w:val="7A810181"/>
    <w:rsid w:val="7A9F4E9E"/>
    <w:rsid w:val="7AA17C39"/>
    <w:rsid w:val="7ACE4ED2"/>
    <w:rsid w:val="7ADD3367"/>
    <w:rsid w:val="7B0D200C"/>
    <w:rsid w:val="7B346CFF"/>
    <w:rsid w:val="7B4C4049"/>
    <w:rsid w:val="7B536393"/>
    <w:rsid w:val="7B537186"/>
    <w:rsid w:val="7B547A4E"/>
    <w:rsid w:val="7B714D0B"/>
    <w:rsid w:val="7B7B7B47"/>
    <w:rsid w:val="7B832AC8"/>
    <w:rsid w:val="7BA03B86"/>
    <w:rsid w:val="7BB135BF"/>
    <w:rsid w:val="7BCF6ABB"/>
    <w:rsid w:val="7BE73D72"/>
    <w:rsid w:val="7BEB5610"/>
    <w:rsid w:val="7C0D1A2A"/>
    <w:rsid w:val="7C1A652F"/>
    <w:rsid w:val="7C232A9E"/>
    <w:rsid w:val="7C365440"/>
    <w:rsid w:val="7C5A0FB9"/>
    <w:rsid w:val="7C6904CA"/>
    <w:rsid w:val="7C6B0B62"/>
    <w:rsid w:val="7C8039AD"/>
    <w:rsid w:val="7C916338"/>
    <w:rsid w:val="7CA83501"/>
    <w:rsid w:val="7CAB4D9F"/>
    <w:rsid w:val="7CB41EA6"/>
    <w:rsid w:val="7CB4634A"/>
    <w:rsid w:val="7CBA145A"/>
    <w:rsid w:val="7CC72903"/>
    <w:rsid w:val="7CEF7382"/>
    <w:rsid w:val="7CF16C56"/>
    <w:rsid w:val="7D1818A6"/>
    <w:rsid w:val="7D2D0A9A"/>
    <w:rsid w:val="7D6B16D3"/>
    <w:rsid w:val="7D6F16F7"/>
    <w:rsid w:val="7DA63C26"/>
    <w:rsid w:val="7DC46A8C"/>
    <w:rsid w:val="7DCC321F"/>
    <w:rsid w:val="7DF913E7"/>
    <w:rsid w:val="7E002060"/>
    <w:rsid w:val="7E0230E5"/>
    <w:rsid w:val="7E18651E"/>
    <w:rsid w:val="7E1A46A1"/>
    <w:rsid w:val="7E4B683A"/>
    <w:rsid w:val="7E6F4225"/>
    <w:rsid w:val="7E751151"/>
    <w:rsid w:val="7E840624"/>
    <w:rsid w:val="7E89204D"/>
    <w:rsid w:val="7EA27646"/>
    <w:rsid w:val="7EF063B9"/>
    <w:rsid w:val="7EF40C80"/>
    <w:rsid w:val="7F3D0811"/>
    <w:rsid w:val="7F4514DB"/>
    <w:rsid w:val="7F947D6D"/>
    <w:rsid w:val="7FD5285F"/>
    <w:rsid w:val="7FD860A7"/>
    <w:rsid w:val="7FF06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rPr>
      <w:rFonts w:ascii="Times New Roman"/>
      <w:sz w:val="28"/>
    </w:rPr>
  </w:style>
  <w:style w:type="paragraph" w:styleId="5">
    <w:name w:val="annotation text"/>
    <w:basedOn w:val="1"/>
    <w:link w:val="42"/>
    <w:autoRedefine/>
    <w:qFormat/>
    <w:uiPriority w:val="0"/>
    <w:pPr>
      <w:jc w:val="left"/>
    </w:pPr>
    <w:rPr>
      <w:rFonts w:ascii="Times New Roman" w:hAnsi="Times New Roman" w:eastAsia="宋体" w:cs="Times New Roman"/>
      <w:szCs w:val="20"/>
    </w:rPr>
  </w:style>
  <w:style w:type="paragraph" w:styleId="6">
    <w:name w:val="Body Text"/>
    <w:basedOn w:val="1"/>
    <w:next w:val="7"/>
    <w:autoRedefine/>
    <w:qFormat/>
    <w:uiPriority w:val="0"/>
    <w:pPr>
      <w:spacing w:after="120"/>
    </w:pPr>
  </w:style>
  <w:style w:type="paragraph" w:styleId="7">
    <w:name w:val="List Bullet 5"/>
    <w:basedOn w:val="1"/>
    <w:autoRedefine/>
    <w:qFormat/>
    <w:uiPriority w:val="0"/>
    <w:pPr>
      <w:numPr>
        <w:ilvl w:val="0"/>
        <w:numId w:val="1"/>
      </w:numPr>
    </w:pPr>
  </w:style>
  <w:style w:type="paragraph" w:styleId="8">
    <w:name w:val="Body Text Indent"/>
    <w:basedOn w:val="1"/>
    <w:link w:val="53"/>
    <w:autoRedefine/>
    <w:qFormat/>
    <w:uiPriority w:val="0"/>
    <w:pPr>
      <w:spacing w:after="120"/>
      <w:ind w:left="420" w:leftChars="200"/>
    </w:pPr>
  </w:style>
  <w:style w:type="paragraph" w:styleId="9">
    <w:name w:val="Plain Text"/>
    <w:basedOn w:val="1"/>
    <w:autoRedefine/>
    <w:qFormat/>
    <w:uiPriority w:val="0"/>
    <w:rPr>
      <w:rFonts w:ascii="宋体" w:hAnsi="Courier New"/>
      <w:sz w:val="28"/>
    </w:rPr>
  </w:style>
  <w:style w:type="paragraph" w:styleId="10">
    <w:name w:val="Body Text Indent 2"/>
    <w:basedOn w:val="1"/>
    <w:autoRedefine/>
    <w:qFormat/>
    <w:uiPriority w:val="0"/>
    <w:pPr>
      <w:ind w:firstLine="899" w:firstLineChars="281"/>
    </w:pPr>
    <w:rPr>
      <w:rFonts w:ascii="华文中宋" w:eastAsia="华文中宋"/>
      <w:bCs/>
      <w:spacing w:val="20"/>
      <w:sz w:val="28"/>
      <w:szCs w:val="28"/>
    </w:rPr>
  </w:style>
  <w:style w:type="paragraph" w:styleId="11">
    <w:name w:val="Balloon Text"/>
    <w:basedOn w:val="1"/>
    <w:link w:val="41"/>
    <w:autoRedefine/>
    <w:qFormat/>
    <w:uiPriority w:val="0"/>
    <w:rPr>
      <w:sz w:val="18"/>
      <w:szCs w:val="18"/>
    </w:rPr>
  </w:style>
  <w:style w:type="paragraph" w:styleId="12">
    <w:name w:val="footer"/>
    <w:basedOn w:val="1"/>
    <w:link w:val="35"/>
    <w:autoRedefine/>
    <w:qFormat/>
    <w:uiPriority w:val="99"/>
    <w:pPr>
      <w:tabs>
        <w:tab w:val="center" w:pos="4153"/>
        <w:tab w:val="right" w:pos="8306"/>
      </w:tabs>
      <w:snapToGrid w:val="0"/>
      <w:jc w:val="left"/>
    </w:pPr>
    <w:rPr>
      <w:sz w:val="18"/>
    </w:rPr>
  </w:style>
  <w:style w:type="paragraph" w:styleId="13">
    <w:name w:val="header"/>
    <w:basedOn w:val="1"/>
    <w:link w:val="40"/>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List"/>
    <w:basedOn w:val="1"/>
    <w:autoRedefine/>
    <w:unhideWhenUsed/>
    <w:qFormat/>
    <w:uiPriority w:val="99"/>
    <w:pPr>
      <w:spacing w:line="360" w:lineRule="auto"/>
      <w:ind w:left="200" w:hanging="200" w:hangingChars="200"/>
    </w:pPr>
    <w:rPr>
      <w:sz w:val="24"/>
    </w:rPr>
  </w:style>
  <w:style w:type="paragraph" w:styleId="15">
    <w:name w:val="toc 2"/>
    <w:basedOn w:val="1"/>
    <w:next w:val="1"/>
    <w:autoRedefine/>
    <w:qFormat/>
    <w:uiPriority w:val="0"/>
    <w:pPr>
      <w:widowControl/>
      <w:ind w:left="420" w:leftChars="200"/>
      <w:jc w:val="left"/>
    </w:pPr>
    <w:rPr>
      <w:rFonts w:hint="eastAsia" w:ascii="宋体" w:hAnsi="宋体" w:eastAsia="宋体" w:cs="Times New Roman"/>
      <w:kern w:val="0"/>
      <w:sz w:val="24"/>
    </w:rPr>
  </w:style>
  <w:style w:type="paragraph" w:styleId="16">
    <w:name w:val="Body Text 2"/>
    <w:basedOn w:val="1"/>
    <w:autoRedefine/>
    <w:qFormat/>
    <w:uiPriority w:val="99"/>
    <w:pPr>
      <w:spacing w:after="120" w:line="480" w:lineRule="auto"/>
    </w:pPr>
    <w:rPr>
      <w:kern w:val="0"/>
    </w:rPr>
  </w:style>
  <w:style w:type="paragraph" w:styleId="17">
    <w:name w:val="Normal (Web)"/>
    <w:basedOn w:val="1"/>
    <w:link w:val="36"/>
    <w:autoRedefine/>
    <w:qFormat/>
    <w:uiPriority w:val="0"/>
    <w:pPr>
      <w:widowControl/>
      <w:spacing w:beforeAutospacing="1" w:afterAutospacing="1"/>
      <w:jc w:val="left"/>
    </w:pPr>
    <w:rPr>
      <w:rFonts w:hint="eastAsia" w:ascii="宋体" w:hAnsi="宋体" w:eastAsia="宋体" w:cs="Times New Roman"/>
      <w:kern w:val="0"/>
      <w:sz w:val="24"/>
      <w:szCs w:val="20"/>
    </w:rPr>
  </w:style>
  <w:style w:type="paragraph" w:styleId="18">
    <w:name w:val="Title"/>
    <w:basedOn w:val="1"/>
    <w:next w:val="1"/>
    <w:autoRedefine/>
    <w:qFormat/>
    <w:uiPriority w:val="99"/>
    <w:pPr>
      <w:spacing w:before="240" w:after="60"/>
      <w:jc w:val="center"/>
      <w:outlineLvl w:val="0"/>
    </w:pPr>
    <w:rPr>
      <w:rFonts w:ascii="Calibri Light" w:hAnsi="Calibri Light"/>
      <w:b/>
      <w:bCs/>
      <w:kern w:val="0"/>
      <w:sz w:val="32"/>
      <w:szCs w:val="32"/>
    </w:rPr>
  </w:style>
  <w:style w:type="paragraph" w:styleId="19">
    <w:name w:val="annotation subject"/>
    <w:basedOn w:val="5"/>
    <w:next w:val="5"/>
    <w:link w:val="48"/>
    <w:autoRedefine/>
    <w:qFormat/>
    <w:uiPriority w:val="0"/>
    <w:rPr>
      <w:rFonts w:asciiTheme="minorHAnsi" w:hAnsiTheme="minorHAnsi" w:eastAsiaTheme="minorEastAsia" w:cstheme="minorBidi"/>
      <w:b/>
      <w:bCs/>
      <w:szCs w:val="24"/>
    </w:rPr>
  </w:style>
  <w:style w:type="paragraph" w:styleId="20">
    <w:name w:val="Body Text First Indent"/>
    <w:basedOn w:val="6"/>
    <w:autoRedefine/>
    <w:qFormat/>
    <w:uiPriority w:val="0"/>
    <w:pPr>
      <w:ind w:firstLine="420" w:firstLineChars="100"/>
    </w:pPr>
  </w:style>
  <w:style w:type="paragraph" w:styleId="21">
    <w:name w:val="Body Text First Indent 2"/>
    <w:basedOn w:val="8"/>
    <w:link w:val="54"/>
    <w:autoRedefine/>
    <w:unhideWhenUsed/>
    <w:qFormat/>
    <w:uiPriority w:val="99"/>
    <w:pPr>
      <w:spacing w:line="400" w:lineRule="exact"/>
      <w:ind w:firstLine="420" w:firstLineChars="200"/>
    </w:pPr>
    <w:rPr>
      <w:rFonts w:ascii="Times New Roman" w:hAnsi="Times New Roman" w:eastAsia="宋体" w:cs="Times New Roman"/>
      <w:sz w:val="24"/>
      <w:szCs w:val="20"/>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rFonts w:eastAsia="仿宋"/>
      <w:b/>
      <w:bCs/>
      <w:sz w:val="24"/>
    </w:rPr>
  </w:style>
  <w:style w:type="character" w:styleId="26">
    <w:name w:val="Emphasis"/>
    <w:basedOn w:val="24"/>
    <w:autoRedefine/>
    <w:qFormat/>
    <w:uiPriority w:val="0"/>
    <w:rPr>
      <w:b/>
      <w:sz w:val="21"/>
      <w:szCs w:val="21"/>
    </w:rPr>
  </w:style>
  <w:style w:type="character" w:styleId="27">
    <w:name w:val="Hyperlink"/>
    <w:basedOn w:val="24"/>
    <w:autoRedefine/>
    <w:qFormat/>
    <w:uiPriority w:val="0"/>
    <w:rPr>
      <w:color w:val="0000FF"/>
      <w:u w:val="single"/>
    </w:rPr>
  </w:style>
  <w:style w:type="character" w:styleId="28">
    <w:name w:val="annotation reference"/>
    <w:autoRedefine/>
    <w:qFormat/>
    <w:uiPriority w:val="0"/>
    <w:rPr>
      <w:sz w:val="21"/>
      <w:szCs w:val="21"/>
    </w:rPr>
  </w:style>
  <w:style w:type="paragraph" w:customStyle="1" w:styleId="29">
    <w:name w:val="_Style 4"/>
    <w:basedOn w:val="1"/>
    <w:autoRedefine/>
    <w:qFormat/>
    <w:uiPriority w:val="0"/>
    <w:pPr>
      <w:spacing w:line="400" w:lineRule="exact"/>
    </w:pPr>
    <w:rPr>
      <w:sz w:val="24"/>
    </w:rPr>
  </w:style>
  <w:style w:type="paragraph" w:customStyle="1" w:styleId="30">
    <w:name w:val="Default"/>
    <w:autoRedefine/>
    <w:qFormat/>
    <w:uiPriority w:val="0"/>
    <w:pPr>
      <w:widowControl w:val="0"/>
      <w:autoSpaceDE w:val="0"/>
      <w:autoSpaceDN w:val="0"/>
      <w:adjustRightInd w:val="0"/>
    </w:pPr>
    <w:rPr>
      <w:rFonts w:ascii="宋体_.." w:hAnsi="Times New Roman" w:eastAsia="宋体_.." w:cs="宋体_.."/>
      <w:color w:val="000000"/>
      <w:sz w:val="24"/>
      <w:szCs w:val="24"/>
      <w:lang w:val="en-US" w:eastAsia="zh-CN" w:bidi="ar-SA"/>
    </w:rPr>
  </w:style>
  <w:style w:type="paragraph" w:customStyle="1" w:styleId="3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2">
    <w:name w:val="样式 样式 样式 四号 左侧:  1.53 厘米 + 首行缩进:  2 字符 + 居中 左侧:  2 字符 首行缩进:  2..."/>
    <w:basedOn w:val="33"/>
    <w:next w:val="1"/>
    <w:autoRedefine/>
    <w:qFormat/>
    <w:uiPriority w:val="0"/>
    <w:pPr>
      <w:jc w:val="center"/>
    </w:pPr>
    <w:rPr>
      <w:rFonts w:ascii="Times New Roman" w:hAnsi="Times New Roman" w:eastAsia="宋体" w:cs="Times New Roman"/>
    </w:rPr>
  </w:style>
  <w:style w:type="paragraph" w:customStyle="1" w:styleId="33">
    <w:name w:val="样式 样式 四号 左侧:  1.53 厘米 + 首行缩进:  2 字符"/>
    <w:basedOn w:val="34"/>
    <w:autoRedefine/>
    <w:qFormat/>
    <w:uiPriority w:val="0"/>
    <w:pPr>
      <w:ind w:left="200" w:leftChars="200"/>
    </w:pPr>
    <w:rPr>
      <w:szCs w:val="20"/>
    </w:rPr>
  </w:style>
  <w:style w:type="paragraph" w:customStyle="1" w:styleId="34">
    <w:name w:val="样式 四号 左侧:  1.53 厘米"/>
    <w:basedOn w:val="1"/>
    <w:autoRedefine/>
    <w:qFormat/>
    <w:uiPriority w:val="0"/>
    <w:pPr>
      <w:adjustRightInd w:val="0"/>
    </w:pPr>
    <w:rPr>
      <w:w w:val="90"/>
      <w:sz w:val="28"/>
      <w:szCs w:val="28"/>
    </w:rPr>
  </w:style>
  <w:style w:type="character" w:customStyle="1" w:styleId="35">
    <w:name w:val="页脚 字符1"/>
    <w:basedOn w:val="24"/>
    <w:link w:val="12"/>
    <w:autoRedefine/>
    <w:qFormat/>
    <w:uiPriority w:val="0"/>
    <w:rPr>
      <w:sz w:val="18"/>
    </w:rPr>
  </w:style>
  <w:style w:type="character" w:customStyle="1" w:styleId="36">
    <w:name w:val="普通(网站) 字符"/>
    <w:basedOn w:val="24"/>
    <w:link w:val="17"/>
    <w:autoRedefine/>
    <w:qFormat/>
    <w:uiPriority w:val="0"/>
    <w:rPr>
      <w:rFonts w:hint="eastAsia" w:ascii="宋体" w:hAnsi="宋体" w:eastAsia="宋体" w:cs="宋体"/>
      <w:sz w:val="24"/>
    </w:rPr>
  </w:style>
  <w:style w:type="character" w:customStyle="1" w:styleId="37">
    <w:name w:val="表格 Char"/>
    <w:basedOn w:val="24"/>
    <w:link w:val="38"/>
    <w:autoRedefine/>
    <w:qFormat/>
    <w:uiPriority w:val="0"/>
    <w:rPr>
      <w:rFonts w:hint="eastAsia" w:ascii="宋体" w:hAnsi="宋体" w:eastAsia="宋体" w:cs="宋体"/>
      <w:sz w:val="21"/>
    </w:rPr>
  </w:style>
  <w:style w:type="paragraph" w:customStyle="1" w:styleId="38">
    <w:name w:val="表格"/>
    <w:basedOn w:val="1"/>
    <w:next w:val="1"/>
    <w:link w:val="37"/>
    <w:autoRedefine/>
    <w:qFormat/>
    <w:uiPriority w:val="0"/>
    <w:pPr>
      <w:adjustRightInd w:val="0"/>
      <w:snapToGrid w:val="0"/>
      <w:spacing w:beforeLines="10" w:afterLines="10" w:line="256" w:lineRule="auto"/>
      <w:jc w:val="center"/>
    </w:pPr>
    <w:rPr>
      <w:rFonts w:hint="eastAsia" w:ascii="宋体" w:hAnsi="Times New Roman" w:eastAsia="宋体" w:cs="Times New Roman"/>
      <w:kern w:val="0"/>
      <w:szCs w:val="20"/>
    </w:rPr>
  </w:style>
  <w:style w:type="character" w:customStyle="1" w:styleId="39">
    <w:name w:val="页脚 字符"/>
    <w:basedOn w:val="24"/>
    <w:autoRedefine/>
    <w:qFormat/>
    <w:uiPriority w:val="99"/>
    <w:rPr>
      <w:kern w:val="2"/>
      <w:sz w:val="18"/>
      <w:szCs w:val="18"/>
    </w:rPr>
  </w:style>
  <w:style w:type="character" w:customStyle="1" w:styleId="40">
    <w:name w:val="页眉 字符"/>
    <w:basedOn w:val="24"/>
    <w:link w:val="13"/>
    <w:autoRedefine/>
    <w:qFormat/>
    <w:uiPriority w:val="0"/>
    <w:rPr>
      <w:rFonts w:asciiTheme="minorHAnsi" w:hAnsiTheme="minorHAnsi" w:eastAsiaTheme="minorEastAsia" w:cstheme="minorBidi"/>
      <w:kern w:val="2"/>
      <w:sz w:val="18"/>
      <w:szCs w:val="18"/>
    </w:rPr>
  </w:style>
  <w:style w:type="character" w:customStyle="1" w:styleId="41">
    <w:name w:val="批注框文本 字符"/>
    <w:basedOn w:val="24"/>
    <w:link w:val="11"/>
    <w:autoRedefine/>
    <w:qFormat/>
    <w:uiPriority w:val="0"/>
    <w:rPr>
      <w:rFonts w:asciiTheme="minorHAnsi" w:hAnsiTheme="minorHAnsi" w:eastAsiaTheme="minorEastAsia" w:cstheme="minorBidi"/>
      <w:kern w:val="2"/>
      <w:sz w:val="18"/>
      <w:szCs w:val="18"/>
    </w:rPr>
  </w:style>
  <w:style w:type="character" w:customStyle="1" w:styleId="42">
    <w:name w:val="批注文字 字符"/>
    <w:link w:val="5"/>
    <w:autoRedefine/>
    <w:qFormat/>
    <w:uiPriority w:val="0"/>
    <w:rPr>
      <w:kern w:val="2"/>
      <w:sz w:val="21"/>
    </w:rPr>
  </w:style>
  <w:style w:type="character" w:customStyle="1" w:styleId="43">
    <w:name w:val="批注文字 字符1"/>
    <w:basedOn w:val="24"/>
    <w:autoRedefine/>
    <w:qFormat/>
    <w:uiPriority w:val="0"/>
    <w:rPr>
      <w:rFonts w:asciiTheme="minorHAnsi" w:hAnsiTheme="minorHAnsi" w:eastAsiaTheme="minorEastAsia" w:cstheme="minorBidi"/>
      <w:kern w:val="2"/>
      <w:sz w:val="21"/>
      <w:szCs w:val="24"/>
    </w:rPr>
  </w:style>
  <w:style w:type="paragraph" w:customStyle="1" w:styleId="44">
    <w:name w:val="CM33"/>
    <w:basedOn w:val="1"/>
    <w:next w:val="1"/>
    <w:autoRedefine/>
    <w:qFormat/>
    <w:uiPriority w:val="0"/>
    <w:pPr>
      <w:autoSpaceDE w:val="0"/>
      <w:autoSpaceDN w:val="0"/>
      <w:adjustRightInd w:val="0"/>
      <w:spacing w:after="168"/>
      <w:jc w:val="left"/>
    </w:pPr>
    <w:rPr>
      <w:rFonts w:ascii="宋体" w:hAnsi="Times New Roman" w:eastAsia="宋体" w:cs="Times New Roman"/>
      <w:kern w:val="0"/>
      <w:sz w:val="24"/>
    </w:rPr>
  </w:style>
  <w:style w:type="paragraph" w:customStyle="1" w:styleId="45">
    <w:name w:val="图表标题"/>
    <w:basedOn w:val="1"/>
    <w:link w:val="46"/>
    <w:autoRedefine/>
    <w:qFormat/>
    <w:uiPriority w:val="0"/>
    <w:pPr>
      <w:spacing w:line="360" w:lineRule="auto"/>
      <w:jc w:val="center"/>
    </w:pPr>
    <w:rPr>
      <w:rFonts w:ascii="Times New Roman" w:hAnsi="Times New Roman" w:eastAsia="等线" w:cs="Times New Roman"/>
      <w:b/>
      <w:szCs w:val="21"/>
    </w:rPr>
  </w:style>
  <w:style w:type="character" w:customStyle="1" w:styleId="46">
    <w:name w:val="图表标题 字符"/>
    <w:link w:val="45"/>
    <w:autoRedefine/>
    <w:qFormat/>
    <w:uiPriority w:val="0"/>
    <w:rPr>
      <w:rFonts w:eastAsia="等线"/>
      <w:b/>
      <w:kern w:val="2"/>
      <w:sz w:val="21"/>
      <w:szCs w:val="21"/>
    </w:rPr>
  </w:style>
  <w:style w:type="paragraph" w:styleId="47">
    <w:name w:val="List Paragraph"/>
    <w:basedOn w:val="1"/>
    <w:autoRedefine/>
    <w:qFormat/>
    <w:uiPriority w:val="34"/>
    <w:pPr>
      <w:ind w:firstLine="420" w:firstLineChars="200"/>
    </w:pPr>
    <w:rPr>
      <w:rFonts w:ascii="Calibri" w:hAnsi="Calibri" w:eastAsia="等线" w:cs="Times New Roman"/>
      <w:szCs w:val="20"/>
    </w:rPr>
  </w:style>
  <w:style w:type="character" w:customStyle="1" w:styleId="48">
    <w:name w:val="批注主题 字符"/>
    <w:basedOn w:val="42"/>
    <w:link w:val="19"/>
    <w:autoRedefine/>
    <w:qFormat/>
    <w:uiPriority w:val="0"/>
    <w:rPr>
      <w:rFonts w:asciiTheme="minorHAnsi" w:hAnsiTheme="minorHAnsi" w:eastAsiaTheme="minorEastAsia" w:cstheme="minorBidi"/>
      <w:b/>
      <w:bCs/>
      <w:kern w:val="2"/>
      <w:sz w:val="21"/>
      <w:szCs w:val="24"/>
    </w:rPr>
  </w:style>
  <w:style w:type="paragraph" w:customStyle="1" w:styleId="49">
    <w:name w:val="书表格内"/>
    <w:basedOn w:val="1"/>
    <w:link w:val="50"/>
    <w:autoRedefine/>
    <w:qFormat/>
    <w:uiPriority w:val="0"/>
    <w:pPr>
      <w:spacing w:line="0" w:lineRule="atLeast"/>
      <w:jc w:val="center"/>
    </w:pPr>
    <w:rPr>
      <w:rFonts w:ascii="Times New Roman" w:hAnsi="Times New Roman" w:eastAsia="宋体" w:cs="Times New Roman"/>
      <w:szCs w:val="21"/>
    </w:rPr>
  </w:style>
  <w:style w:type="character" w:customStyle="1" w:styleId="50">
    <w:name w:val="书表格内 Char"/>
    <w:link w:val="49"/>
    <w:autoRedefine/>
    <w:qFormat/>
    <w:uiPriority w:val="0"/>
    <w:rPr>
      <w:kern w:val="2"/>
      <w:sz w:val="21"/>
      <w:szCs w:val="21"/>
    </w:rPr>
  </w:style>
  <w:style w:type="paragraph" w:customStyle="1" w:styleId="51">
    <w:name w:val="表格文字"/>
    <w:basedOn w:val="1"/>
    <w:autoRedefine/>
    <w:qFormat/>
    <w:uiPriority w:val="0"/>
    <w:pPr>
      <w:jc w:val="center"/>
    </w:pPr>
    <w:rPr>
      <w:rFonts w:ascii="Times New Roman" w:hAnsi="Times New Roman" w:eastAsia="宋体" w:cs="Times New Roman"/>
      <w:sz w:val="24"/>
      <w:szCs w:val="20"/>
    </w:rPr>
  </w:style>
  <w:style w:type="paragraph" w:customStyle="1" w:styleId="52">
    <w:name w:val="00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eastAsia="等线" w:cs="Times New Roman"/>
      <w:szCs w:val="20"/>
    </w:rPr>
  </w:style>
  <w:style w:type="character" w:customStyle="1" w:styleId="53">
    <w:name w:val="正文文本缩进 字符"/>
    <w:basedOn w:val="24"/>
    <w:link w:val="8"/>
    <w:autoRedefine/>
    <w:qFormat/>
    <w:uiPriority w:val="0"/>
    <w:rPr>
      <w:rFonts w:asciiTheme="minorHAnsi" w:hAnsiTheme="minorHAnsi" w:eastAsiaTheme="minorEastAsia" w:cstheme="minorBidi"/>
      <w:kern w:val="2"/>
      <w:sz w:val="21"/>
      <w:szCs w:val="24"/>
    </w:rPr>
  </w:style>
  <w:style w:type="character" w:customStyle="1" w:styleId="54">
    <w:name w:val="正文文本首行缩进 2 字符"/>
    <w:basedOn w:val="53"/>
    <w:link w:val="21"/>
    <w:autoRedefine/>
    <w:qFormat/>
    <w:uiPriority w:val="99"/>
    <w:rPr>
      <w:rFonts w:asciiTheme="minorHAnsi" w:hAnsiTheme="minorHAnsi" w:eastAsiaTheme="minorEastAsia" w:cstheme="minorBidi"/>
      <w:kern w:val="2"/>
      <w:sz w:val="24"/>
      <w:szCs w:val="24"/>
    </w:rPr>
  </w:style>
  <w:style w:type="paragraph" w:customStyle="1" w:styleId="55">
    <w:name w:val="Char5"/>
    <w:basedOn w:val="1"/>
    <w:autoRedefine/>
    <w:qFormat/>
    <w:uiPriority w:val="0"/>
    <w:pPr>
      <w:spacing w:line="360" w:lineRule="auto"/>
    </w:pPr>
    <w:rPr>
      <w:rFonts w:ascii="宋体" w:hAnsi="宋体" w:cs="宋体"/>
    </w:rPr>
  </w:style>
  <w:style w:type="paragraph" w:customStyle="1" w:styleId="56">
    <w:name w:val="样式 四号 首行缩进:  2 字符"/>
    <w:basedOn w:val="1"/>
    <w:autoRedefine/>
    <w:qFormat/>
    <w:uiPriority w:val="0"/>
    <w:pPr>
      <w:spacing w:line="480" w:lineRule="atLeast"/>
      <w:ind w:firstLine="200" w:firstLineChars="200"/>
    </w:pPr>
  </w:style>
  <w:style w:type="paragraph" w:customStyle="1" w:styleId="57">
    <w:name w:val="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kern w:val="0"/>
      <w:szCs w:val="20"/>
    </w:rPr>
  </w:style>
  <w:style w:type="character" w:styleId="58">
    <w:name w:val="Placeholder Text"/>
    <w:basedOn w:val="24"/>
    <w:autoRedefine/>
    <w:semiHidden/>
    <w:qFormat/>
    <w:uiPriority w:val="99"/>
    <w:rPr>
      <w:color w:val="808080"/>
    </w:rPr>
  </w:style>
  <w:style w:type="paragraph" w:customStyle="1" w:styleId="59">
    <w:name w:val="+正文"/>
    <w:basedOn w:val="1"/>
    <w:autoRedefine/>
    <w:qFormat/>
    <w:uiPriority w:val="0"/>
    <w:pPr>
      <w:spacing w:line="360" w:lineRule="auto"/>
    </w:pPr>
    <w:rPr>
      <w:sz w:val="28"/>
      <w:szCs w:val="28"/>
    </w:rPr>
  </w:style>
  <w:style w:type="paragraph" w:customStyle="1" w:styleId="60">
    <w:name w:val="正文001"/>
    <w:basedOn w:val="1"/>
    <w:autoRedefine/>
    <w:qFormat/>
    <w:uiPriority w:val="0"/>
    <w:pPr>
      <w:adjustRightInd w:val="0"/>
      <w:spacing w:before="120" w:after="120" w:line="540" w:lineRule="exact"/>
      <w:ind w:firstLine="567"/>
      <w:textAlignment w:val="baseline"/>
    </w:pPr>
    <w:rPr>
      <w:rFonts w:ascii="宋体" w:hAnsi="宋体" w:cs="宋体"/>
      <w:kern w:val="21"/>
      <w:sz w:val="28"/>
      <w:szCs w:val="28"/>
    </w:rPr>
  </w:style>
  <w:style w:type="character" w:customStyle="1" w:styleId="61">
    <w:name w:val="正文（首行缩进两字） Char Char Char Char Char Char Char Char Char Char Char Char Char Char Char Char Char Char Char Char Char Char Char  Char Char Char Char Char Char Char Char Char  Char"/>
    <w:autoRedefine/>
    <w:qFormat/>
    <w:uiPriority w:val="0"/>
    <w:rPr>
      <w:rFonts w:eastAsia="宋体"/>
      <w:kern w:val="2"/>
      <w:sz w:val="28"/>
      <w:lang w:val="en-US" w:eastAsia="zh-CN" w:bidi="ar-SA"/>
    </w:rPr>
  </w:style>
  <w:style w:type="paragraph" w:customStyle="1" w:styleId="62">
    <w:name w:val="表内文字"/>
    <w:basedOn w:val="1"/>
    <w:next w:val="1"/>
    <w:autoRedefine/>
    <w:qFormat/>
    <w:uiPriority w:val="0"/>
    <w:pPr>
      <w:jc w:val="center"/>
    </w:pPr>
  </w:style>
  <w:style w:type="paragraph" w:customStyle="1" w:styleId="63">
    <w:name w:val="0表-序号"/>
    <w:next w:val="1"/>
    <w:autoRedefine/>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table" w:customStyle="1" w:styleId="64">
    <w:name w:val="网格型10"/>
    <w:basedOn w:val="22"/>
    <w:autoRedefine/>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5">
    <w:name w:val="Table Paragraph"/>
    <w:basedOn w:val="1"/>
    <w:autoRedefine/>
    <w:qFormat/>
    <w:uiPriority w:val="1"/>
    <w:rPr>
      <w:rFonts w:ascii="宋体" w:hAnsi="宋体" w:eastAsia="宋体" w:cs="宋体"/>
    </w:rPr>
  </w:style>
  <w:style w:type="character" w:customStyle="1" w:styleId="66">
    <w:name w:val="font101"/>
    <w:basedOn w:val="24"/>
    <w:autoRedefine/>
    <w:qFormat/>
    <w:uiPriority w:val="0"/>
    <w:rPr>
      <w:rFonts w:hint="default" w:ascii="Times New Roman" w:hAnsi="Times New Roman" w:cs="Times New Roman"/>
      <w:color w:val="000000"/>
      <w:sz w:val="21"/>
      <w:szCs w:val="21"/>
      <w:u w:val="none"/>
      <w:vertAlign w:val="subscript"/>
    </w:rPr>
  </w:style>
  <w:style w:type="character" w:customStyle="1" w:styleId="67">
    <w:name w:val="font71"/>
    <w:basedOn w:val="24"/>
    <w:autoRedefine/>
    <w:qFormat/>
    <w:uiPriority w:val="0"/>
    <w:rPr>
      <w:rFonts w:hint="default" w:ascii="Times New Roman" w:hAnsi="Times New Roman" w:cs="Times New Roman"/>
      <w:color w:val="000000"/>
      <w:sz w:val="21"/>
      <w:szCs w:val="21"/>
      <w:u w:val="none"/>
    </w:rPr>
  </w:style>
  <w:style w:type="character" w:customStyle="1" w:styleId="68">
    <w:name w:val="font11"/>
    <w:basedOn w:val="24"/>
    <w:autoRedefine/>
    <w:qFormat/>
    <w:uiPriority w:val="0"/>
    <w:rPr>
      <w:rFonts w:hint="eastAsia" w:ascii="宋体" w:hAnsi="宋体" w:eastAsia="宋体" w:cs="宋体"/>
      <w:color w:val="FF0000"/>
      <w:sz w:val="21"/>
      <w:szCs w:val="21"/>
      <w:u w:val="none"/>
    </w:rPr>
  </w:style>
  <w:style w:type="character" w:customStyle="1" w:styleId="69">
    <w:name w:val="font51"/>
    <w:basedOn w:val="24"/>
    <w:autoRedefine/>
    <w:qFormat/>
    <w:uiPriority w:val="0"/>
    <w:rPr>
      <w:rFonts w:hint="default" w:ascii="Times New Roman" w:hAnsi="Times New Roman" w:cs="Times New Roman"/>
      <w:color w:val="FF0000"/>
      <w:sz w:val="21"/>
      <w:szCs w:val="21"/>
      <w:u w:val="none"/>
    </w:rPr>
  </w:style>
  <w:style w:type="character" w:customStyle="1" w:styleId="70">
    <w:name w:val="font112"/>
    <w:basedOn w:val="24"/>
    <w:autoRedefine/>
    <w:qFormat/>
    <w:uiPriority w:val="0"/>
    <w:rPr>
      <w:rFonts w:hint="default" w:ascii="Times New Roman" w:hAnsi="Times New Roman" w:cs="Times New Roman"/>
      <w:color w:val="FF0000"/>
      <w:sz w:val="21"/>
      <w:szCs w:val="21"/>
      <w:u w:val="none"/>
      <w:vertAlign w:val="superscript"/>
    </w:rPr>
  </w:style>
  <w:style w:type="character" w:customStyle="1" w:styleId="71">
    <w:name w:val="font41"/>
    <w:basedOn w:val="24"/>
    <w:autoRedefine/>
    <w:qFormat/>
    <w:uiPriority w:val="0"/>
    <w:rPr>
      <w:rFonts w:hint="eastAsia" w:ascii="宋体" w:hAnsi="宋体" w:eastAsia="宋体" w:cs="宋体"/>
      <w:color w:val="000000"/>
      <w:sz w:val="21"/>
      <w:szCs w:val="21"/>
      <w:u w:val="none"/>
    </w:rPr>
  </w:style>
  <w:style w:type="character" w:customStyle="1" w:styleId="72">
    <w:name w:val="font121"/>
    <w:basedOn w:val="24"/>
    <w:autoRedefine/>
    <w:qFormat/>
    <w:uiPriority w:val="0"/>
    <w:rPr>
      <w:rFonts w:hint="default" w:ascii="Times New Roman" w:hAnsi="Times New Roman" w:cs="Times New Roman"/>
      <w:color w:val="000000"/>
      <w:sz w:val="21"/>
      <w:szCs w:val="21"/>
      <w:u w:val="none"/>
      <w:vertAlign w:val="superscript"/>
    </w:rPr>
  </w:style>
  <w:style w:type="paragraph" w:customStyle="1" w:styleId="73">
    <w:name w:val="武正文"/>
    <w:basedOn w:val="1"/>
    <w:autoRedefine/>
    <w:qFormat/>
    <w:uiPriority w:val="0"/>
    <w:pPr>
      <w:adjustRightInd w:val="0"/>
      <w:snapToGrid w:val="0"/>
      <w:spacing w:line="360" w:lineRule="auto"/>
      <w:ind w:firstLine="200" w:firstLineChars="200"/>
    </w:pPr>
    <w:rPr>
      <w:rFonts w:hAnsi="宋体"/>
      <w:color w:val="000000"/>
      <w:sz w:val="24"/>
    </w:rPr>
  </w:style>
  <w:style w:type="paragraph" w:customStyle="1" w:styleId="74">
    <w:name w:val="无间隔2"/>
    <w:autoRedefine/>
    <w:qFormat/>
    <w:uiPriority w:val="99"/>
    <w:pPr>
      <w:widowControl w:val="0"/>
      <w:jc w:val="both"/>
    </w:pPr>
    <w:rPr>
      <w:rFonts w:ascii="Times New Roman" w:hAnsi="Times New Roman" w:eastAsia="仿宋_GB2312" w:cs="Times New Roman"/>
      <w:b/>
      <w:kern w:val="2"/>
      <w:sz w:val="36"/>
      <w:szCs w:val="24"/>
      <w:lang w:val="en-US" w:eastAsia="zh-CN" w:bidi="ar-SA"/>
    </w:rPr>
  </w:style>
  <w:style w:type="paragraph" w:customStyle="1" w:styleId="75">
    <w:name w:val="常用"/>
    <w:basedOn w:val="1"/>
    <w:autoRedefine/>
    <w:qFormat/>
    <w:uiPriority w:val="0"/>
    <w:pPr>
      <w:spacing w:line="360" w:lineRule="auto"/>
      <w:ind w:firstLine="420" w:firstLineChars="200"/>
      <w:jc w:val="left"/>
    </w:pPr>
    <w:rPr>
      <w:sz w:val="24"/>
      <w:szCs w:val="22"/>
    </w:rPr>
  </w:style>
  <w:style w:type="character" w:customStyle="1" w:styleId="76">
    <w:name w:val="font81"/>
    <w:basedOn w:val="24"/>
    <w:autoRedefine/>
    <w:qFormat/>
    <w:uiPriority w:val="0"/>
    <w:rPr>
      <w:rFonts w:hint="default" w:ascii="Times New Roman" w:hAnsi="Times New Roman" w:cs="Times New Roman"/>
      <w:color w:val="000000"/>
      <w:sz w:val="21"/>
      <w:szCs w:val="21"/>
      <w:u w:val="none"/>
      <w:vertAlign w:val="subscript"/>
    </w:rPr>
  </w:style>
  <w:style w:type="character" w:customStyle="1" w:styleId="77">
    <w:name w:val="font61"/>
    <w:basedOn w:val="24"/>
    <w:autoRedefine/>
    <w:qFormat/>
    <w:uiPriority w:val="0"/>
    <w:rPr>
      <w:rFonts w:hint="default" w:ascii="Times New Roman" w:hAnsi="Times New Roman" w:cs="Times New Roman"/>
      <w:color w:val="FF0000"/>
      <w:sz w:val="21"/>
      <w:szCs w:val="21"/>
      <w:u w:val="none"/>
    </w:rPr>
  </w:style>
  <w:style w:type="character" w:customStyle="1" w:styleId="78">
    <w:name w:val="font91"/>
    <w:basedOn w:val="24"/>
    <w:autoRedefine/>
    <w:qFormat/>
    <w:uiPriority w:val="0"/>
    <w:rPr>
      <w:rFonts w:hint="default" w:ascii="Times New Roman" w:hAnsi="Times New Roman" w:cs="Times New Roman"/>
      <w:color w:val="FF0000"/>
      <w:sz w:val="21"/>
      <w:szCs w:val="21"/>
      <w:u w:val="none"/>
      <w:vertAlign w:val="superscript"/>
    </w:rPr>
  </w:style>
  <w:style w:type="character" w:customStyle="1" w:styleId="79">
    <w:name w:val="font31"/>
    <w:basedOn w:val="24"/>
    <w:autoRedefine/>
    <w:qFormat/>
    <w:uiPriority w:val="0"/>
    <w:rPr>
      <w:rFonts w:hint="eastAsia" w:ascii="宋体" w:hAnsi="宋体" w:eastAsia="宋体" w:cs="宋体"/>
      <w:color w:val="000000"/>
      <w:sz w:val="21"/>
      <w:szCs w:val="21"/>
      <w:u w:val="none"/>
    </w:rPr>
  </w:style>
  <w:style w:type="table" w:customStyle="1" w:styleId="80">
    <w:name w:val="Table Normal"/>
    <w:autoRedefine/>
    <w:semiHidden/>
    <w:unhideWhenUsed/>
    <w:qFormat/>
    <w:uiPriority w:val="2"/>
    <w:tblPr>
      <w:tblCellMar>
        <w:top w:w="0" w:type="dxa"/>
        <w:left w:w="0" w:type="dxa"/>
        <w:bottom w:w="0" w:type="dxa"/>
        <w:right w:w="0" w:type="dxa"/>
      </w:tblCellMar>
    </w:tblPr>
  </w:style>
  <w:style w:type="paragraph" w:customStyle="1" w:styleId="81">
    <w:name w:val="书正"/>
    <w:basedOn w:val="1"/>
    <w:autoRedefine/>
    <w:qFormat/>
    <w:uiPriority w:val="0"/>
    <w:pPr>
      <w:adjustRightInd w:val="0"/>
      <w:snapToGrid w:val="0"/>
      <w:spacing w:line="360" w:lineRule="auto"/>
      <w:ind w:firstLine="480" w:firstLineChars="200"/>
    </w:pPr>
    <w:rPr>
      <w:snapToGrid w:val="0"/>
      <w:kern w:val="0"/>
      <w:sz w:val="24"/>
      <w:lang w:val="zh-CN"/>
    </w:rPr>
  </w:style>
  <w:style w:type="character" w:customStyle="1" w:styleId="82">
    <w:name w:val="正文文本1"/>
    <w:autoRedefine/>
    <w:qFormat/>
    <w:uiPriority w:val="0"/>
    <w:rPr>
      <w:rFonts w:hint="default" w:ascii="Arial Unicode MS" w:hAnsi="Arial Unicode MS" w:eastAsia="Times New Roman" w:cs="Arial Unicode MS"/>
      <w:color w:val="000000"/>
      <w:spacing w:val="0"/>
      <w:w w:val="100"/>
      <w:position w:val="0"/>
      <w:sz w:val="26"/>
      <w:szCs w:val="26"/>
      <w:u w:val="none"/>
      <w:lang w:val="zh-TW"/>
    </w:rPr>
  </w:style>
  <w:style w:type="character" w:customStyle="1" w:styleId="83">
    <w:name w:val="font21"/>
    <w:basedOn w:val="24"/>
    <w:autoRedefine/>
    <w:qFormat/>
    <w:uiPriority w:val="0"/>
    <w:rPr>
      <w:rFonts w:hint="eastAsia" w:ascii="宋体" w:hAnsi="宋体" w:eastAsia="宋体" w:cs="宋体"/>
      <w:color w:val="000000"/>
      <w:sz w:val="20"/>
      <w:szCs w:val="20"/>
      <w:u w:val="none"/>
    </w:rPr>
  </w:style>
  <w:style w:type="table" w:customStyle="1" w:styleId="84">
    <w:name w:val="网格型2"/>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5">
    <w:name w:val="Quote"/>
    <w:basedOn w:val="1"/>
    <w:next w:val="1"/>
    <w:autoRedefine/>
    <w:qFormat/>
    <w:uiPriority w:val="29"/>
    <w:pPr>
      <w:spacing w:line="0" w:lineRule="atLeast"/>
      <w:jc w:val="center"/>
    </w:pPr>
    <w:rPr>
      <w:iCs/>
      <w:color w:val="000000"/>
    </w:rPr>
  </w:style>
  <w:style w:type="character" w:customStyle="1" w:styleId="86">
    <w:name w:val="font01"/>
    <w:basedOn w:val="24"/>
    <w:autoRedefine/>
    <w:qFormat/>
    <w:uiPriority w:val="0"/>
    <w:rPr>
      <w:rFonts w:hint="default" w:ascii="Times New Roman" w:hAnsi="Times New Roman" w:cs="Times New Roman"/>
      <w:color w:val="000000"/>
      <w:sz w:val="21"/>
      <w:szCs w:val="21"/>
      <w:u w:val="none"/>
    </w:rPr>
  </w:style>
  <w:style w:type="paragraph" w:customStyle="1" w:styleId="87">
    <w:name w:val="表格式"/>
    <w:basedOn w:val="14"/>
    <w:autoRedefine/>
    <w:qFormat/>
    <w:uiPriority w:val="0"/>
    <w:pPr>
      <w:spacing w:line="400" w:lineRule="exact"/>
      <w:ind w:left="0" w:firstLine="0" w:firstLineChars="0"/>
      <w:jc w:val="center"/>
    </w:pPr>
    <w:rPr>
      <w:rFonts w:ascii="宋体"/>
      <w:szCs w:val="20"/>
    </w:rPr>
  </w:style>
  <w:style w:type="paragraph" w:customStyle="1" w:styleId="88">
    <w:name w:val="纯文本1"/>
    <w:basedOn w:val="1"/>
    <w:autoRedefine/>
    <w:qFormat/>
    <w:uiPriority w:val="0"/>
    <w:rPr>
      <w:rFonts w:ascii="宋体" w:hAnsi="Courier New"/>
      <w:kern w:val="0"/>
      <w:sz w:val="20"/>
    </w:rPr>
  </w:style>
  <w:style w:type="paragraph" w:customStyle="1" w:styleId="89">
    <w:name w:val="li_正文"/>
    <w:basedOn w:val="1"/>
    <w:autoRedefine/>
    <w:qFormat/>
    <w:uiPriority w:val="0"/>
    <w:pPr>
      <w:widowControl w:val="0"/>
      <w:adjustRightInd/>
      <w:snapToGrid/>
      <w:spacing w:after="0" w:line="360" w:lineRule="auto"/>
      <w:ind w:firstLine="200" w:firstLineChars="200"/>
    </w:pPr>
    <w:rPr>
      <w:rFonts w:ascii="Times New Roman" w:hAnsi="Times New Roman" w:eastAsia="宋体" w:cs="Times New Roman"/>
      <w:kern w:val="2"/>
      <w:sz w:val="28"/>
      <w:szCs w:val="28"/>
    </w:rPr>
  </w:style>
  <w:style w:type="paragraph" w:styleId="90">
    <w:name w:val="No Spacing"/>
    <w:autoRedefine/>
    <w:qFormat/>
    <w:uiPriority w:val="0"/>
    <w:pPr>
      <w:widowControl w:val="0"/>
      <w:jc w:val="center"/>
    </w:pPr>
    <w:rPr>
      <w:rFonts w:ascii="Times New Roman" w:hAnsi="Times New Roman" w:eastAsia="宋体" w:cstheme="minorBidi"/>
      <w:kern w:val="2"/>
      <w:sz w:val="21"/>
      <w:szCs w:val="22"/>
      <w:lang w:val="en-US" w:eastAsia="zh-CN" w:bidi="ar-SA"/>
    </w:rPr>
  </w:style>
  <w:style w:type="paragraph" w:customStyle="1" w:styleId="91">
    <w:name w:val="表内格式"/>
    <w:basedOn w:val="92"/>
    <w:autoRedefine/>
    <w:qFormat/>
    <w:uiPriority w:val="0"/>
    <w:rPr>
      <w:rFonts w:eastAsia="宋体"/>
    </w:rPr>
  </w:style>
  <w:style w:type="paragraph" w:customStyle="1" w:styleId="92">
    <w:name w:val="表标题"/>
    <w:basedOn w:val="1"/>
    <w:autoRedefine/>
    <w:qFormat/>
    <w:uiPriority w:val="0"/>
    <w:pPr>
      <w:widowControl w:val="0"/>
      <w:spacing w:line="240" w:lineRule="auto"/>
      <w:ind w:firstLine="0" w:firstLineChars="0"/>
      <w:jc w:val="center"/>
    </w:pPr>
    <w:rPr>
      <w:rFonts w:eastAsia="黑体"/>
      <w:sz w:val="21"/>
    </w:rPr>
  </w:style>
  <w:style w:type="table" w:customStyle="1" w:styleId="93">
    <w:name w:val="网格型111"/>
    <w:basedOn w:val="22"/>
    <w:autoRedefine/>
    <w:qFormat/>
    <w:uiPriority w:val="0"/>
    <w:pPr>
      <w:widowControl w:val="0"/>
      <w:spacing w:line="240" w:lineRule="auto"/>
    </w:pPr>
    <w:rPr>
      <w:rFonts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32FEE7-5651-45D3-A4C8-1BFD83269190}">
  <ds:schemaRefs/>
</ds:datastoreItem>
</file>

<file path=docProps/app.xml><?xml version="1.0" encoding="utf-8"?>
<Properties xmlns="http://schemas.openxmlformats.org/officeDocument/2006/extended-properties" xmlns:vt="http://schemas.openxmlformats.org/officeDocument/2006/docPropsVTypes">
  <Template>Normal</Template>
  <Pages>100</Pages>
  <Words>30440</Words>
  <Characters>36865</Characters>
  <Lines>394</Lines>
  <Paragraphs>111</Paragraphs>
  <TotalTime>21</TotalTime>
  <ScaleCrop>false</ScaleCrop>
  <LinksUpToDate>false</LinksUpToDate>
  <CharactersWithSpaces>37118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2021-05-06T00:59:00Z</dcterms:created>
  <dc:creator>Z</dc:creator>
  <cp:lastModifiedBy>DELL</cp:lastModifiedBy>
  <cp:lastPrinted>2024-03-01T00:43:00Z</cp:lastPrinted>
  <dcterms:modified xsi:type="dcterms:W3CDTF">2024-03-28T08:04:11Z</dcterms:modified>
  <cp:revision>775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C7A1030A487C43BAB3AD027937686CB2_13</vt:lpwstr>
  </property>
</Properties>
</file>